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1928"/>
        <w:jc w:val="center"/>
        <w:spacing w:before="0" w:after="0" w:line="360" w:lineRule="atLeast"/>
        <w:pBdr>
          <w:top w:val="none" w:color="000000" w:sz="4" w:space="0"/>
          <w:left w:val="none" w:color="000000" w:sz="4" w:space="0"/>
          <w:bottom w:val="none" w:color="000000" w:sz="4" w:space="0"/>
          <w:right w:val="none" w:color="000000" w:sz="4" w:space="0"/>
        </w:pBdr>
      </w:pPr>
      <w:r>
        <w:rPr>
          <w:rFonts w:ascii="NSimSun" w:hAnsi="NSimSun" w:eastAsia="NSimSun" w:cs="NSimSun"/>
          <w:b/>
          <w:color w:val="000000"/>
          <w:sz w:val="96"/>
        </w:rPr>
        <w:t xml:space="preserve"> </w:t>
      </w:r>
      <w:r/>
    </w:p>
    <w:p>
      <w:pPr>
        <w:ind w:left="0" w:right="0" w:firstLine="472"/>
        <w:jc w:val="center"/>
        <w:spacing w:before="0" w:after="0" w:line="360" w:lineRule="atLeast"/>
        <w:pBdr>
          <w:top w:val="none" w:color="000000" w:sz="4" w:space="0"/>
          <w:left w:val="none" w:color="000000" w:sz="4" w:space="0"/>
          <w:bottom w:val="none" w:color="000000" w:sz="4" w:space="0"/>
          <w:right w:val="none" w:color="000000" w:sz="4" w:space="0"/>
        </w:pBdr>
      </w:pPr>
      <w:r>
        <w:rPr>
          <w:rFonts w:ascii="NSimSun" w:hAnsi="NSimSun" w:eastAsia="NSimSun" w:cs="NSimSun"/>
          <w:b/>
          <w:color w:val="000000"/>
          <w:sz w:val="84"/>
        </w:rPr>
        <w:t xml:space="preserve">竞争性磋商文件</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NSimSun" w:hAnsi="NSimSun" w:eastAsia="NSimSun" w:cs="NSimSun"/>
          <w:b/>
          <w:color w:val="000000"/>
          <w:sz w:val="32"/>
        </w:rPr>
        <w:t xml:space="preserve">（全流程电子化）</w:t>
      </w:r>
      <w:r/>
    </w:p>
    <w:p>
      <w:pPr>
        <w:ind w:left="0" w:right="0" w:firstLine="482"/>
        <w:spacing w:before="0" w:after="0" w:line="360" w:lineRule="atLeast"/>
        <w:pBdr>
          <w:top w:val="none" w:color="000000" w:sz="4" w:space="0"/>
          <w:left w:val="none" w:color="000000" w:sz="4" w:space="0"/>
          <w:bottom w:val="none" w:color="000000" w:sz="4" w:space="0"/>
          <w:right w:val="none" w:color="000000" w:sz="4" w:space="0"/>
        </w:pBdr>
      </w:pPr>
      <w:r>
        <w:rPr>
          <w:rFonts w:ascii="NSimSun" w:hAnsi="NSimSun" w:eastAsia="NSimSun" w:cs="NSimSun"/>
          <w:b/>
          <w:color w:val="000000"/>
          <w:sz w:val="24"/>
        </w:rPr>
        <w:t xml:space="preserve"> </w:t>
      </w:r>
      <w:r/>
    </w:p>
    <w:p>
      <w:pPr>
        <w:ind w:left="0" w:right="0" w:firstLine="482"/>
        <w:spacing w:before="0" w:after="0" w:line="360" w:lineRule="atLeast"/>
        <w:pBdr>
          <w:top w:val="none" w:color="000000" w:sz="4" w:space="0"/>
          <w:left w:val="none" w:color="000000" w:sz="4" w:space="0"/>
          <w:bottom w:val="none" w:color="000000" w:sz="4" w:space="0"/>
          <w:right w:val="none" w:color="000000" w:sz="4" w:space="0"/>
        </w:pBdr>
      </w:pPr>
      <w:r>
        <w:rPr>
          <w:rFonts w:ascii="NSimSun" w:hAnsi="NSimSun" w:eastAsia="NSimSun" w:cs="NSimSun"/>
          <w:b/>
          <w:color w:val="000000"/>
          <w:sz w:val="24"/>
        </w:rPr>
        <w:t xml:space="preserve"> </w:t>
      </w:r>
      <w:r/>
    </w:p>
    <w:p>
      <w:pPr>
        <w:ind w:left="0" w:right="0" w:firstLine="482"/>
        <w:spacing w:before="0" w:after="0" w:line="360" w:lineRule="atLeast"/>
        <w:pBdr>
          <w:top w:val="none" w:color="000000" w:sz="4" w:space="0"/>
          <w:left w:val="none" w:color="000000" w:sz="4" w:space="0"/>
          <w:bottom w:val="none" w:color="000000" w:sz="4" w:space="0"/>
          <w:right w:val="none" w:color="000000" w:sz="4" w:space="0"/>
        </w:pBdr>
      </w:pPr>
      <w:r>
        <w:rPr>
          <w:rFonts w:ascii="NSimSun" w:hAnsi="NSimSun" w:eastAsia="NSimSun" w:cs="NSimSun"/>
          <w:b/>
          <w:color w:val="000000"/>
          <w:sz w:val="24"/>
        </w:rPr>
        <w:t xml:space="preserve"> </w:t>
      </w:r>
      <w:r/>
    </w:p>
    <w:p>
      <w:pPr>
        <w:ind w:left="0" w:right="0" w:firstLine="482"/>
        <w:spacing w:before="0" w:after="0" w:line="360" w:lineRule="atLeast"/>
        <w:pBdr>
          <w:top w:val="none" w:color="000000" w:sz="4" w:space="0"/>
          <w:left w:val="none" w:color="000000" w:sz="4" w:space="0"/>
          <w:bottom w:val="none" w:color="000000" w:sz="4" w:space="0"/>
          <w:right w:val="none" w:color="000000" w:sz="4" w:space="0"/>
        </w:pBdr>
      </w:pPr>
      <w:r>
        <w:rPr>
          <w:rFonts w:ascii="NSimSun" w:hAnsi="NSimSun" w:eastAsia="NSimSun" w:cs="NSimSun"/>
          <w:b/>
          <w:color w:val="000000"/>
          <w:sz w:val="24"/>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NSimSun" w:hAnsi="NSimSun" w:eastAsia="NSimSun" w:cs="NSimSun"/>
          <w:b/>
          <w:color w:val="000000"/>
          <w:sz w:val="32"/>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NSimSun" w:hAnsi="NSimSun" w:eastAsia="NSimSun" w:cs="NSimSun"/>
          <w:b/>
          <w:color w:val="000000"/>
          <w:sz w:val="32"/>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NSimSun" w:hAnsi="NSimSun" w:eastAsia="NSimSun" w:cs="NSimSun"/>
          <w:b/>
          <w:color w:val="000000"/>
          <w:sz w:val="32"/>
        </w:rPr>
        <w:t xml:space="preserve"> </w:t>
      </w:r>
      <w:r/>
    </w:p>
    <w:p>
      <w:pPr>
        <w:ind w:left="0" w:right="0" w:firstLine="1928"/>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项目编号：JSZC-321203-CYJS-C2025-0006</w:t>
      </w:r>
      <w:r/>
    </w:p>
    <w:p>
      <w:pPr>
        <w:ind w:left="0" w:right="0" w:firstLine="1928"/>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项目名称：泰州综保区卡口安保服务项目 </w:t>
      </w:r>
      <w:r/>
    </w:p>
    <w:p>
      <w:pPr>
        <w:ind w:left="0" w:right="0" w:firstLine="192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 购 人：泰州医药高新技术产业开发区（泰州市</w:t>
      </w:r>
      <w:r/>
    </w:p>
    <w:p>
      <w:pPr>
        <w:ind w:left="0" w:right="0" w:firstLine="353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高港区）电子信息产业园管理办公室</w:t>
      </w:r>
      <w:r/>
    </w:p>
    <w:p>
      <w:pPr>
        <w:ind w:left="0" w:right="0" w:firstLine="192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采购代理：江苏初阳项目管理咨询有限公司</w:t>
      </w:r>
      <w:r/>
    </w:p>
    <w:p>
      <w:pPr>
        <w:ind w:left="0" w:right="0" w:firstLine="643"/>
        <w:jc w:val="center"/>
        <w:spacing w:before="0" w:after="0" w:line="360" w:lineRule="atLeast"/>
        <w:pBdr>
          <w:top w:val="none" w:color="000000" w:sz="4" w:space="0"/>
          <w:left w:val="none" w:color="000000" w:sz="4" w:space="0"/>
          <w:bottom w:val="none" w:color="000000" w:sz="4" w:space="0"/>
          <w:right w:val="none" w:color="000000" w:sz="4" w:space="0"/>
        </w:pBdr>
      </w:pPr>
      <w:r>
        <w:rPr>
          <w:rFonts w:ascii="NSimSun" w:hAnsi="NSimSun" w:eastAsia="NSimSun" w:cs="NSimSun"/>
          <w:b/>
          <w:color w:val="000000"/>
          <w:sz w:val="28"/>
        </w:rPr>
        <w:t xml:space="preserve"> </w:t>
      </w:r>
      <w:r/>
    </w:p>
    <w:p>
      <w:pPr>
        <w:ind w:left="0" w:right="0" w:firstLine="643"/>
        <w:jc w:val="center"/>
        <w:spacing w:before="0" w:after="0" w:line="360" w:lineRule="atLeast"/>
        <w:pBdr>
          <w:top w:val="none" w:color="000000" w:sz="4" w:space="0"/>
          <w:left w:val="none" w:color="000000" w:sz="4" w:space="0"/>
          <w:bottom w:val="none" w:color="000000" w:sz="4" w:space="0"/>
          <w:right w:val="none" w:color="000000" w:sz="4" w:space="0"/>
        </w:pBdr>
      </w:pPr>
      <w:r>
        <w:rPr>
          <w:rFonts w:ascii="NSimSun" w:hAnsi="NSimSun" w:eastAsia="NSimSun" w:cs="NSimSun"/>
          <w:b/>
          <w:color w:val="000000"/>
          <w:sz w:val="32"/>
        </w:rPr>
        <w:t xml:space="preserve">2025年10月</w:t>
      </w:r>
      <w:r/>
    </w:p>
    <w:p>
      <w:pPr>
        <w:ind w:left="0" w:right="0" w:firstLine="482"/>
        <w:jc w:val="center"/>
        <w:spacing w:before="0" w:after="0" w:line="360" w:lineRule="atLeast"/>
        <w:pBdr>
          <w:top w:val="none" w:color="000000" w:sz="4" w:space="0"/>
          <w:left w:val="none" w:color="000000" w:sz="4" w:space="0"/>
          <w:bottom w:val="none" w:color="000000" w:sz="4" w:space="0"/>
          <w:right w:val="none" w:color="000000" w:sz="4" w:space="0"/>
        </w:pBdr>
      </w:pPr>
      <w:r>
        <w:rPr>
          <w:rFonts w:ascii="NSimSun" w:hAnsi="NSimSun" w:eastAsia="NSimSun" w:cs="NSimSun"/>
          <w:b/>
          <w:color w:val="000000"/>
          <w:sz w:val="24"/>
        </w:rPr>
        <w:t xml:space="preserve"> </w:t>
      </w:r>
      <w:r/>
    </w:p>
    <w:p>
      <w:pPr>
        <w:ind w:left="0" w:right="0" w:firstLine="482"/>
        <w:jc w:val="center"/>
        <w:spacing w:before="0" w:after="0" w:line="360" w:lineRule="atLeast"/>
        <w:pBdr>
          <w:top w:val="none" w:color="000000" w:sz="4" w:space="0"/>
          <w:left w:val="none" w:color="000000" w:sz="4" w:space="0"/>
          <w:bottom w:val="none" w:color="000000" w:sz="4" w:space="0"/>
          <w:right w:val="none" w:color="000000" w:sz="4" w:space="0"/>
        </w:pBdr>
      </w:pPr>
      <w:r>
        <w:rPr>
          <w:rFonts w:ascii="NSimSun" w:hAnsi="NSimSun" w:eastAsia="NSimSun" w:cs="N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目  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hyperlink r:id="rId9" w:tooltip="http://jszfcg.jsczt.cn/jszc/onlyoffice/7.2.1-34/web-apps/apps/documenteditor/main/index_loader.html?_dc=7.2.1-34&amp;lang=zh&amp;customer=%20&amp;logo=%20&amp;headerlogo=%2Ffavicon.ico&amp;frameEditorId=iframePage&amp;compact=true&amp;parentOrigin=http://jszfcg.jsczt.cn#_Toc86268900" w:history="1">
        <w:r>
          <w:rPr>
            <w:rStyle w:val="810"/>
            <w:rFonts w:ascii="SimSun" w:hAnsi="SimSun" w:eastAsia="SimSun" w:cs="SimSun"/>
            <w:color w:val="000000"/>
            <w:sz w:val="21"/>
            <w:u w:val="single"/>
          </w:rPr>
          <w:t xml:space="preserve">第一章 竞争性磋商采购公告</w:t>
          <w:tab/>
          <w:t xml:space="preserve">3</w:t>
        </w:r>
      </w:hyperlink>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hyperlink r:id="rId10" w:tooltip="http://jszfcg.jsczt.cn/jszc/onlyoffice/7.2.1-34/web-apps/apps/documenteditor/main/index_loader.html?_dc=7.2.1-34&amp;lang=zh&amp;customer=%20&amp;logo=%20&amp;headerlogo=%2Ffavicon.ico&amp;frameEditorId=iframePage&amp;compact=true&amp;parentOrigin=http://jszfcg.jsczt.cn#_Toc86268900" w:history="1">
        <w:r>
          <w:rPr>
            <w:rStyle w:val="810"/>
            <w:rFonts w:ascii="SimSun" w:hAnsi="SimSun" w:eastAsia="SimSun" w:cs="SimSun"/>
            <w:color w:val="000000"/>
            <w:sz w:val="21"/>
            <w:u w:val="single"/>
          </w:rPr>
          <w:t xml:space="preserve">第二章 参加磋商的供应商须知</w:t>
          <w:tab/>
          <w:t xml:space="preserve">7</w:t>
        </w:r>
      </w:hyperlink>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hyperlink r:id="rId11" w:tooltip="http://jszfcg.jsczt.cn/jszc/onlyoffice/7.2.1-34/web-apps/apps/documenteditor/main/index_loader.html?_dc=7.2.1-34&amp;lang=zh&amp;customer=%20&amp;logo=%20&amp;headerlogo=%2Ffavicon.ico&amp;frameEditorId=iframePage&amp;compact=true&amp;parentOrigin=http://jszfcg.jsczt.cn#_Toc86268901" w:history="1">
        <w:r>
          <w:rPr>
            <w:rStyle w:val="810"/>
            <w:rFonts w:ascii="SimSun" w:hAnsi="SimSun" w:eastAsia="SimSun" w:cs="SimSun"/>
            <w:color w:val="000000"/>
            <w:sz w:val="21"/>
            <w:u w:val="single"/>
          </w:rPr>
          <w:t xml:space="preserve">第三章 合同条款及格式</w:t>
          <w:tab/>
          <w:t xml:space="preserve">17</w:t>
        </w:r>
      </w:hyperlink>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hyperlink r:id="rId12" w:tooltip="http://jszfcg.jsczt.cn/jszc/onlyoffice/7.2.1-34/web-apps/apps/documenteditor/main/index_loader.html?_dc=7.2.1-34&amp;lang=zh&amp;customer=%20&amp;logo=%20&amp;headerlogo=%2Ffavicon.ico&amp;frameEditorId=iframePage&amp;compact=true&amp;parentOrigin=http://jszfcg.jsczt.cn#_Toc86268902" w:history="1">
        <w:r>
          <w:rPr>
            <w:rStyle w:val="810"/>
            <w:rFonts w:ascii="SimSun" w:hAnsi="SimSun" w:eastAsia="SimSun" w:cs="SimSun"/>
            <w:color w:val="000000"/>
            <w:sz w:val="21"/>
            <w:u w:val="single"/>
          </w:rPr>
          <w:t xml:space="preserve">第四章 项目需求</w:t>
          <w:tab/>
          <w:t xml:space="preserve">21</w:t>
        </w:r>
      </w:hyperlink>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hyperlink r:id="rId13" w:tooltip="http://jszfcg.jsczt.cn/jszc/onlyoffice/7.2.1-34/web-apps/apps/documenteditor/main/index_loader.html?_dc=7.2.1-34&amp;lang=zh&amp;customer=%20&amp;logo=%20&amp;headerlogo=%2Ffavicon.ico&amp;frameEditorId=iframePage&amp;compact=true&amp;parentOrigin=http://jszfcg.jsczt.cn#_Toc86268903" w:history="1">
        <w:r>
          <w:rPr>
            <w:rStyle w:val="810"/>
            <w:rFonts w:ascii="SimSun" w:hAnsi="SimSun" w:eastAsia="SimSun" w:cs="SimSun"/>
            <w:color w:val="000000"/>
            <w:sz w:val="21"/>
            <w:u w:val="single"/>
          </w:rPr>
          <w:t xml:space="preserve">第五章 评审方法和评审标准</w:t>
          <w:tab/>
        </w:r>
      </w:hyperlink>
      <w:r>
        <w:rPr>
          <w:rFonts w:ascii="SimSun" w:hAnsi="SimSun" w:eastAsia="SimSun" w:cs="SimSun"/>
          <w:color w:val="000000"/>
          <w:sz w:val="21"/>
        </w:rPr>
        <w:t xml:space="preserve">29</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hyperlink r:id="rId14" w:tooltip="http://jszfcg.jsczt.cn/jszc/onlyoffice/7.2.1-34/web-apps/apps/documenteditor/main/index_loader.html?_dc=7.2.1-34&amp;lang=zh&amp;customer=%20&amp;logo=%20&amp;headerlogo=%2Ffavicon.ico&amp;frameEditorId=iframePage&amp;compact=true&amp;parentOrigin=http://jszfcg.jsczt.cn#_Toc86268903" w:history="1">
        <w:r>
          <w:rPr>
            <w:rStyle w:val="810"/>
            <w:rFonts w:ascii="SimSun" w:hAnsi="SimSun" w:eastAsia="SimSun" w:cs="SimSun"/>
            <w:color w:val="000000"/>
            <w:sz w:val="21"/>
            <w:u w:val="single"/>
          </w:rPr>
          <w:t xml:space="preserve">第六章 响应文件的组成和格式</w:t>
          <w:tab/>
          <w:t xml:space="preserve">3</w:t>
        </w:r>
      </w:hyperlink>
      <w:r>
        <w:rPr>
          <w:rFonts w:ascii="SimSun" w:hAnsi="SimSun" w:eastAsia="SimSun" w:cs="SimSun"/>
          <w:color w:val="000000"/>
          <w:sz w:val="21"/>
        </w:rPr>
        <w:t xml:space="preserve">4</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pStyle w:val="650"/>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第一章 竞争性磋商采购公告</w:t>
      </w:r>
      <w:r/>
    </w:p>
    <w:p>
      <w:pPr>
        <w:ind w:left="0" w:right="0" w:firstLine="0"/>
        <w:jc w:val="both"/>
        <w:spacing w:before="0" w:after="0" w:line="479"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1"/>
        </w:rPr>
        <w:t xml:space="preserve">项目概况：</w:t>
      </w:r>
      <w:r/>
    </w:p>
    <w:p>
      <w:pPr>
        <w:ind w:left="0" w:right="0" w:firstLine="420"/>
        <w:jc w:val="both"/>
        <w:spacing w:before="0" w:after="0" w:line="479"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1"/>
        </w:rPr>
        <w:t xml:space="preserve">泰州综保区卡口安保服务项目JSZC-321203-CYJS-C2025-0006</w:t>
      </w:r>
      <w:r>
        <w:rPr>
          <w:rFonts w:ascii="SimSun" w:hAnsi="SimSun" w:eastAsia="SimSun" w:cs="SimSun"/>
          <w:color w:val="000000"/>
          <w:sz w:val="21"/>
        </w:rPr>
        <w:t xml:space="preserve">采购</w:t>
      </w:r>
      <w:r>
        <w:rPr>
          <w:rFonts w:ascii="SimSun" w:hAnsi="SimSun" w:eastAsia="SimSun" w:cs="SimSun"/>
          <w:color w:val="000000"/>
          <w:sz w:val="21"/>
        </w:rPr>
        <w:t xml:space="preserve">项目</w:t>
      </w:r>
      <w:r>
        <w:rPr>
          <w:rFonts w:ascii="SimSun" w:hAnsi="SimSun" w:eastAsia="SimSun" w:cs="SimSun"/>
          <w:color w:val="000000"/>
          <w:sz w:val="21"/>
        </w:rPr>
        <w:t xml:space="preserve">的潜在供应商应在</w:t>
      </w:r>
      <w:r>
        <w:rPr>
          <w:rFonts w:ascii="SimSun" w:hAnsi="SimSun" w:eastAsia="SimSun" w:cs="SimSun"/>
          <w:color w:val="000000"/>
          <w:sz w:val="21"/>
          <w:u w:val="single"/>
        </w:rPr>
        <w:t xml:space="preserve">江苏政府采购“苏采云”系统</w:t>
      </w:r>
      <w:r>
        <w:rPr>
          <w:rFonts w:ascii="SimSun" w:hAnsi="SimSun" w:eastAsia="SimSun" w:cs="SimSun"/>
          <w:color w:val="000000"/>
          <w:sz w:val="21"/>
        </w:rPr>
        <w:t xml:space="preserve">获取采购文件，并于</w:t>
      </w:r>
      <w:r>
        <w:rPr>
          <w:rFonts w:ascii="SimSun" w:hAnsi="SimSun" w:eastAsia="SimSun" w:cs="SimSun"/>
          <w:color w:val="000000" w:themeColor="text1"/>
          <w:sz w:val="21"/>
        </w:rPr>
        <w:t xml:space="preserve">2025-10-24  9：00</w:t>
      </w:r>
      <w:r>
        <w:rPr>
          <w:rFonts w:ascii="SimSun" w:hAnsi="SimSun" w:eastAsia="SimSun" w:cs="SimSun"/>
          <w:color w:val="000000"/>
          <w:sz w:val="21"/>
        </w:rPr>
        <w:t xml:space="preserve">（北京时间）前提交响应文件。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一、项目基本情况</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项目编号：JSZC-321203-CYJS-C2025-0006</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项目名称：泰州综保区卡口安保服务项目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采购方式：竞争性磋商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预算金额：104万元/年，三年合计312万元人民币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最高限价：104万元/年，三年合计312万元人民币（超过限价报价的，作为无效响应处理）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采购需求：泰州综保区三个卡口，需保安24小时值守（具体详见磋商文件第四章项目需求）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合同履行期限：三年，具体时间以合同签订为准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本项目是否接受联合体投标：否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二、申请人的资格要求：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（一）满足《中华人民共和国政府采购法》第二十二条的规定：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1.具有独立承担民事责任的能力；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2.具有良好的商业信誉和健全的财务会计制度；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3.具有依法缴纳税收和社会保障资金的良好记录；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4.具有履行合同所必需的设备和专业技术能力；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5.参加政府采购活动前三年内，在经营活动中没有重大违法记录；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6.法律、行政法规规定的其他条件。</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（二）落实政府采购政策需满足的资格要求：本项目专门面向中小企业，供应商应为中小微企业或监狱企业或残疾人福利性单位。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（三）本项目的特定资格要求：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1"/>
        </w:rPr>
        <w:t xml:space="preserve">供应商</w:t>
      </w:r>
      <w:r>
        <w:rPr>
          <w:rFonts w:ascii="SimSun" w:hAnsi="SimSun" w:eastAsia="SimSun" w:cs="SimSun"/>
          <w:color w:val="000000"/>
          <w:sz w:val="21"/>
        </w:rPr>
        <w:t xml:space="preserve">须具有公安部门核发的《保安服务许可证》；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2.泰州市以外的保安服务企业须在泰州市保安主管部门备案或者提供承诺书，承诺中标后进场前在泰州市保安主管部门备案完成（提供保安服务许可证、备案证明材料或承诺书）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（四）拒绝下述供应商参加本次采购活动：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1.被“信用中国”网站（www.creditchina.gov.cn）列入失信被执行人、重大税收违法失信主体名单、政府采购严重违法失信行为记录名单；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2.供应商单位负责人为同一人或者存在直接控股、管理关系的不同供应商，不得参加同一合同项下的政府采购活动；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3.凡为采购项目提供整体设计、规范编制或者项目管理、监理、检测等服务的供应商，不得再参加本项目的采购活动。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三、获取采购文件</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时间：自磋商文件公告发布之日起5个工作日</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地点：江苏政府采购“苏采云”系统 </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方式：江苏政府采购“苏采云”系统自行免费下载</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售价：0.00元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四、响应文件提交</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截止时间：</w:t>
      </w:r>
      <w:r>
        <w:rPr>
          <w:rFonts w:ascii="SimSun" w:hAnsi="SimSun" w:eastAsia="SimSun" w:cs="SimSun"/>
          <w:color w:val="0066ff"/>
          <w:sz w:val="21"/>
        </w:rPr>
        <w:t xml:space="preserve">2025-10-24  9:00</w:t>
      </w:r>
      <w:r>
        <w:rPr>
          <w:rFonts w:ascii="SimSun" w:hAnsi="SimSun" w:eastAsia="SimSun" w:cs="SimSun"/>
          <w:color w:val="000000"/>
          <w:sz w:val="21"/>
        </w:rPr>
        <w:t xml:space="preserve"> （北京时间）</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地点：江苏政府采购“苏采云”系统不见面开标大厅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五、开启</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w:t>
      </w:r>
      <w:r>
        <w:rPr>
          <w:rFonts w:ascii="SimSun" w:hAnsi="SimSun" w:eastAsia="SimSun" w:cs="SimSun"/>
          <w:color w:val="0066ff"/>
          <w:sz w:val="21"/>
        </w:rPr>
        <w:t xml:space="preserve">2025-10-24  9:00 </w:t>
      </w:r>
      <w:r>
        <w:rPr>
          <w:rFonts w:ascii="SimSun" w:hAnsi="SimSun" w:eastAsia="SimSun" w:cs="SimSun"/>
          <w:color w:val="000000"/>
          <w:sz w:val="21"/>
        </w:rPr>
        <w:t xml:space="preserve">（北京时间）</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地点：江苏政府采购“苏采云”系统不见面开标大厅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六、公告期限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自本公告发布之日起5个工作日。</w:t>
      </w:r>
      <w:r/>
    </w:p>
    <w:p>
      <w:pPr>
        <w:numPr>
          <w:ilvl w:val="0"/>
          <w:numId w:val="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其他补充事宜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1.供应商应按照《操作手册》进行注册入库、办理CA及电子签章，并按《操作手册》要求进行网上投标参与、下载采购文件、标书制作、上传投标文件、开评标等。技术服务联系电话：0523-86897512，0523-87633965。</w:t>
      </w:r>
      <w:r/>
    </w:p>
    <w:p>
      <w:pPr>
        <w:ind w:left="42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（1）登录http://jszfcg.jsczt.cn/，点击“苏采云”进入系统。</w:t>
      </w:r>
      <w:r/>
    </w:p>
    <w:p>
      <w:pPr>
        <w:ind w:left="42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（2）“CA数字证书”的获取：投标人需办理CA锁。投标客户端工具及投标人操作手册可访问江苏省政府采购网，点击“资料下载”进行下载《江苏省政府采购管理交易系统（苏采云）供应商操作手册》。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2.采购代理机构将数据电文形式的招标文件加载至电子招标投标交易平台，供潜在投标人下载或者查阅。</w:t>
      </w:r>
      <w:r/>
    </w:p>
    <w:p>
      <w:pPr>
        <w:ind w:left="42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3.有关本次磋商的事项若存在变动或修改，敬请及时关注“江苏政府采购网”发布的更正公告。</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4.在评标结束前，各投标人授权代表应保持手机畅通，以便及时澄清答疑。</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5.如潜在投标人未按上述要求操作，将自行承担所产生的风险。</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八、凡对本次采购提出询问，请按以下方式联系。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1.采购人信息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单位名称：泰州医药高新技术产业开发区（泰州市高港区）电子信息产业园管理办公室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单位地址：泰州市</w:t>
      </w:r>
      <w:r>
        <w:rPr>
          <w:rFonts w:ascii="SimSun" w:hAnsi="SimSun" w:eastAsia="SimSun" w:cs="SimSun"/>
          <w:color w:val="000000"/>
          <w:sz w:val="21"/>
        </w:rPr>
        <w:t xml:space="preserve">高港区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 系 人：朱先生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联系电话：15261002566</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2.采购代理机构信息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单位名称：江苏初阳项目管理咨询有限公司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单位地址：泰州市药城大道799-3号（数据大厦C幢720室）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 系 人：潘女士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联系电话：0523-86569979</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3.项目联系方式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项目联系人：潘女士</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电话：0523-86569979</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第二章 参加磋商的供应商须知</w:t>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（参加竞争性磋商的供应商以下简称“磋商供应商”）</w:t>
      </w:r>
      <w:r/>
    </w:p>
    <w:p>
      <w:pPr>
        <w:ind w:left="0" w:right="0" w:firstLine="422"/>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一、总则</w:t>
      </w:r>
      <w:r/>
    </w:p>
    <w:p>
      <w:pPr>
        <w:ind w:left="0" w:right="0" w:firstLine="420"/>
        <w:jc w:val="both"/>
        <w:spacing w:before="0" w:after="0" w:line="85" w:lineRule="atLeast"/>
        <w:tabs>
          <w:tab w:val="left" w:pos="900" w:leader="none"/>
          <w:tab w:val="left" w:pos="487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1.适用范围</w:t>
        <w:tab/>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本磋商文件仅适用于泰州综保区卡口安保服务项目。</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2.项目采购方式</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本次采购采取竞争性磋商的方式。</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3.合格的磋商供应商</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3.1.满足本磋商文件“竞争性磋商采购公告”中合格磋商供应商资格要求的规定。</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3.2.满足本磋商文件实质性要求和条件的规定。</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4.参加磋商费用</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4.1.参加磋商的供应商应自行承担所有与参加磋商有关的费用。不论最终的成交结果如何，采购人和采购代理机构在任何情况下均无义务和责任承担这些费用。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4.2.</w:t>
      </w:r>
      <w:r>
        <w:rPr>
          <w:rFonts w:ascii="SimSun" w:hAnsi="SimSun" w:eastAsia="SimSun" w:cs="SimSun"/>
          <w:b/>
          <w:color w:val="000000"/>
          <w:sz w:val="21"/>
          <w:u w:val="single"/>
        </w:rPr>
        <w:t xml:space="preserve">招标代理服务费按“《江苏省政府采购代理服务收费指导意见》的通知（苏政采【2024】20号）”文件收费标准的50%收取；上述费用由成交供应商支付，上述费用在报价时不单独列出，请磋商供应商在投标报价中综合考虑。</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5.磋商文件的约束力</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供应商一旦领取了本磋商文件并决定参加磋商，即被视为接受了本磋商文件的规定和约束，并且视为自竞争性磋商公告期限届满之日起已经知道或应当知道自身权益是否受到了损害。</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6.磋商文件的解释</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磋商文件需求部分（供应商资格要求、项目需求、商务技术评分标准等）由采购人解释，其他部分由采购代理机构解释。</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二、磋商文件</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1.磋商文件构成</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磋商文件由以下部分组成：</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（1）竞争性磋商采购公告</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（2）参加磋商的供应商须知</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（3）合同条款及格式</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（4）项目需求</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（5）评审方法和评审标准</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（6）响应文件的组成和格式</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请仔细检查磋商文件是否齐全，如有缺漏请立即与采购人或采购代理机构联系解决。</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2.磋商文件的澄清</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任何要求对磋商文件进行澄清的供应商，应在提交首次响应文件截止时间五日前按磋商公告中的通讯地址，以书面形式通知采购人或采购代理机构。采购人或采购代理机构有权对发出的磋商文件进行必要的澄清或修改。</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2.2采购人可以视采购项目的具体情况，组织供应商进行现场考察或召开磋商前答疑会，但不单独或分别组织只有一个供应商参加的现场考察和答疑会。</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3.磋商文件的修改</w:t>
      </w:r>
      <w:r/>
    </w:p>
    <w:p>
      <w:pPr>
        <w:ind w:left="0" w:right="0" w:firstLine="420"/>
        <w:jc w:val="left"/>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br/>
        <w:t xml:space="preserve">     3.2磋商文件的修改将在江苏政府采购网公布，补充文件将作为磋商文件的组成部分，并对供应商具有约束力。</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4.在投标响应截止日期前，采购单位对磋商文件进行澄清或者修改的，通过“苏采云”系统发布澄清公告或者修改的内容。澄清或者修改的内容以所发布的本项目的“更正（澄清）公告”的形式通知所有获取磋商文件的潜在供应商。发布本项目的“更正（澄清）公告”后采购代理机构已尽到通知义务。敬请各潜在供应商关注本项目的“更正（澄清）公告”，并通过“苏采云”系统重新下载更正（澄清）后的磋商文件（后缀名为“.kedt”），离线编制响应文件，否则，将自行承担相应的风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5.供应商对采购人提供的磋商文件所做出的推论、解释和结论，采购人概不负责。供应商由于对磋商文件的任何推论和误解以及采购人对有关问题的口头解释所造成的后果，均由各潜在供应商自负。</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三、响应文件的编制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1.响应文件的语言及度量衡单位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1.1供应商提交的响应文件以及供应商与采购人或采购代理机构就有关磋商的所有来往通知、函件和文件均应使用简体中文。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1.2除技术性能另有规定外，响应文件所使用的度量衡单位，均须采用国家法定计量单位。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2.响应文件构成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2.1供应商编写的响应文件应包括资格审查文件、符合性审查文件、商务技术响应文件、报价响应文件。供应商按第六章 响应文件的组成和格式要求编写响应文件。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3.磋商响应有效期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3.1磋商响应有效期为磋商文件规定的响应文件提交截止时间后</w:t>
      </w:r>
      <w:r>
        <w:rPr>
          <w:rFonts w:ascii="SimSun" w:hAnsi="SimSun" w:eastAsia="SimSun" w:cs="SimSun"/>
          <w:b/>
          <w:color w:val="000000"/>
          <w:sz w:val="21"/>
          <w:u w:val="single"/>
        </w:rPr>
        <w:t xml:space="preserve">六十（60）天</w:t>
      </w:r>
      <w:r>
        <w:rPr>
          <w:rFonts w:ascii="SimSun" w:hAnsi="SimSun" w:eastAsia="SimSun" w:cs="SimSun"/>
          <w:color w:val="000000"/>
          <w:sz w:val="21"/>
        </w:rPr>
        <w:t xml:space="preserve">。磋商响应有效期比规定短的将被视为非实质性响应而予以拒绝。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4.磋商响应有效期的延长</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在特殊情况下，采购人或采购代理机构于原磋商响应有效期满之前，可向磋商供应商提出延长磋商响应有效期的要求。这种要求与答复均应采用书面形式。供应商可以拒绝采购人或采购代理机构的这一要求而放弃磋商响应，同意延长磋商响应有效期的供应商既不能要求也不允许修改其响应文件。受磋商响应有效期约束的所有权利与义务均延长至新的有效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5.电子响应文件的其他要求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5.1电子招标投标交易平台（即“苏采云”系统）相关要求是本磋商文件的组成部分。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5.2供应商应对CA证书妥善保管，如被他人盗用投标，因此带来的后果均由供应商自行承担。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5.3供应商应当对磋商文件提出的实质性要求和条件作出实质性响应，并在电子投标系统逐条应答。</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5.4供应商应对要求提供的资格证明文件（如资质证书、资格证书）、技术资料（如白皮书、彩页、手册、检测报告等）扫描上传至投标系统。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6.供应商应当在磋商文件要求提交响应文件的截止时间前，将响应文件提交至“苏采云”系统，逾期提交的响应文件，“苏采云”系统将自动拒收。各供应商应在规定时间内凭CA证书进行网上解密。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7.最高限价：本项目最高限价详见采购公告，</w:t>
      </w:r>
      <w:r>
        <w:rPr>
          <w:rFonts w:ascii="SimSun" w:hAnsi="SimSun" w:eastAsia="SimSun" w:cs="SimSun"/>
          <w:b/>
          <w:color w:val="000000"/>
          <w:sz w:val="21"/>
        </w:rPr>
        <w:t xml:space="preserve">供应商首次响应报价超过最高限价的，作为无效投标处理。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8.磋商保证金：本项目供应商无需提交磋商保证金。</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四、响应文件的提交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1.响应文件的提交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线上提交与接收地点：供应商应当通过“苏采云”系统提交数据电文形式的响应文件（即电子投标），“苏采云”系统自动接收。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说明：电子响应文件应由其法定代表人或被授权人在规定的网上投标时间内，凭CA证书登录“苏采云”系统在线编制响应文件（电子数据），并在投标截止时间之前上传磋商响应文件。供应商应在达到开标时间后，使用CA数字证书解密各自磋商响应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2.提交响应文件截止日期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2.1供应商上传电子响应文件的时间不得迟于竞争性磋商采购公告中规定的响应文件提交截止时间。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供应商应充分考虑网络环境、网络带宽等风险因素，如因供应商自身原因造成的电子响应文件上传不成功，由供应商自行承担全部责任。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2.2采购人或采购代理机构可以按照规定，通过修改响应文件酌情延长响应文件提交截止日期，在此情况下，供应商的所有权利和义务以及供应商受制的截止日期均应以延长后新的截止日期为准。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3.响应文件的密封（加密）要求：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3.1供应商应当按照磋商文件和“苏采云”系统的要求编制并加密响应文件。本项目供应商须通过“苏采云”系统提供的政府采购客户端工具（使用“CA数字证书”）对其数据电文形式的响应文件加密。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3.2供应商须通过“苏采云”系统提供的政府采购客户端工具（使用“CA数字证书”）加盖电子签章。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说明：供应商应使用CA数字证书以及自备的能够登录“苏采云”系统的电脑，在达到开标时间后，使用CA数字证书解密各自响应文件。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3.3供应商未按规定加密的响应文件，“苏采云”系统将拒收并提示。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4.响应文件的拒收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“苏采云”系统拒绝接收在规定的响应文件提交截止时间后上传的任何响应文件。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5.响应文件的撤回和修改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5.1响应文件的撤回</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5.1.1电子响应文件的撤回</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供应商可在响应文件提交截止时间前，撤回其电子响应文件，具体操作方法见“苏采云”系统供应商操作手册。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5.1.2供应商撤回电子响应文件，则视为其不再参与本项目竞争性磋商活动。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5.2响应文件的修改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供应商可在响应文件提交截止时间前，对其电子响应文件进行修改。具体操作方法见“苏采云”系统供应商操作手册。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5.3在响应文件提交截止时间之后，供应商不得对其电子响应文件做任何修改。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5.4在响应文件提交截止时间至磋商文件中规定的磋商响应有效期满之间的这段时间内，供应商不得撤回其响应文件。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五、响应文件的解密与评审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响应文件解密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1.1供应商应当按照</w:t>
      </w:r>
      <w:r>
        <w:rPr>
          <w:rFonts w:ascii="SimSun" w:hAnsi="SimSun" w:eastAsia="SimSun" w:cs="SimSun"/>
          <w:b/>
          <w:color w:val="000000"/>
          <w:sz w:val="21"/>
        </w:rPr>
        <w:t xml:space="preserve">《操作手册》</w:t>
      </w:r>
      <w:r>
        <w:rPr>
          <w:rFonts w:ascii="SimSun" w:hAnsi="SimSun" w:eastAsia="SimSun" w:cs="SimSun"/>
          <w:color w:val="000000"/>
          <w:sz w:val="21"/>
        </w:rPr>
        <w:t xml:space="preserve">规定，在苏采云系统规定的时间内对磋商响应文件进行解密。</w:t>
      </w:r>
      <w:r>
        <w:rPr>
          <w:rFonts w:ascii="SimSun" w:hAnsi="SimSun" w:eastAsia="SimSun" w:cs="SimSun"/>
          <w:b/>
          <w:color w:val="000000"/>
          <w:sz w:val="21"/>
        </w:rPr>
        <w:t xml:space="preserve">供应商在苏采云系统规定时间内未解密，解密超时视同解密失败，放弃投标。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2.磋商小组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2.1磋商开始仪式结束后，采购人或采购代理机构将立即组织磋商小组进行评审。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磋商小组由采购人代表和评审专家共3人及以上单数组成，其中评审专家人数不得少于磋商小组成员总数的2/3。采购人不得以评审专家身份参加本部门或本单位采购项目的评审。采购代理机构不得参加本机构代理的采购项目的评审。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2.3磋商小组独立工作，负责评审所有响应文件并确定成交候选人。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3.磋商评审过程的保密与公正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3.1磋商小组、采购人或采购代理机构、相关监督人员等与评审工作有关的人员，对评审情况以及在评审过程中获悉的国家秘密、商业秘密负有保密责任。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3.2在磋商评审过程中，磋商供应商不得以任何行为影响磋商评审过程，否则其响应文件将被视为无效响应文件。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磋商小组成员应当按照客观、公正、审慎的原则，根据磋商文件规定的磋商程序、评审方法和评审标准进行独立评审。未实质性响应磋商文件的响应文件按无效响应处理，磋商小组应当告知提交响应文件的供应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3.4评审开始后，直至向成交供应商授予合同时止，凡是与审查、澄清、评价和比较响应的有关资料以及授标建议等，采购人、磋商小组、采购代理机构均不得向供应商或与评标无关的其他人员透露。</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3.5在评审期间，采购人或采购代理机构将派专门人员与供应商联系。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3.6采购人、采购代理机构和磋商小组既不向未成交的供应商解释未成交原因，也不公布评审过程中的相关细节。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4.评审过程中的澄清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评审期间，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做澄清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需要供应商进行澄清、说明或更正的，磋商小组将通过苏采云系统向供应商发布“澄清要求函”。接到“澄清要求函”的供应商应当按照要求在苏采云系统中提交“澄清响应函”并加盖CA电子公章。澄清、说明或更正的内容作为响应文件的补充部分，具体操作方式见《操作手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4.3接到磋商小组澄清、说明或更正要求的供应商应按磋商小组规定的时间和格式做出澄清、说明或更正，澄清、说明或更正的内容作为响应文件的补充部分，但实质性的内容不得做任何更改。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4.4接到磋商小组澄清、说明或更正要求的供应商如未按规定作出澄清、说明或更正的，其风险由供应商自行承担。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5.对响应文件的初审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5.1响应文件初审分为资格性审查和符合性审查。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5.1.1资格性审查：依据法律法规和磋商文件的规定，由采购人对响应文件中的资格审查文件进行审查。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采购人在进行资格审查的同时，将在“信用中国”网站查询供应商的信用记录，以确定供应商是否具备磋商资格。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5.1.2符合性审查：依据磋商文件的规定，由磋商小组从响应文件的有效性、完整性和对磋商文件的响应程度进行审查，以确定是否对磋商文件的实质性要求作出响应。</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5.1.3未通过资格审查或符合性审查的供应商，采购代理机构将在苏采云系统中告知未通过资格审查或符合性审查的原因，评审结束后，采购代理机构将不再告知其未通过资格审查或符合性审查的原因。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5.2在正式磋商之前，磋商小组将首先审查每份响应文件是否实质性响应了磋商文件的要求。实质性响应的响应文件应该是与磋商文件要求的全部条款、条件和规格相符，没有重大负偏离或保留。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所谓重大负偏离或保留是指与磋商文件规定的实质性要求存在负偏离，或者在实质上与磋商文件不一致，并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5.3如果响应文件实质上没有响应磋商文件的要求，磋商小组将予以拒绝，供应商不得通过修改或撤销不符合要求的偏离或保留而使其响应文件成为实质性响应的文件。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5.4磋商小组将对确定为实质性响应的文件进行进一步审核，看其是否有计算上或累加上的算术错误，修正错误的原则如下：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（1）响应文件中报价总表内容与响应文件中相应内容不一致的，以报价总表为准。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（2）大写金额和小写金额不一致的，以大写金额为准。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（3）单价金额小数点或者百分比有明显错位的，以报价总表的总价为准，并修改单价。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（4）总价金额与按单价汇总金额不一致的，以单价汇总金额计算结果为准。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5.5磋商小组将按上述修正错误的方法调整响应文件中的报价，通过“苏采云系统”开标大厅告知供应商，调整后的价格应对供应商具有约束力。如果供应商不接受修正后的价格，则其磋商响应文件将被拒绝。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5.6磋商小组将允许修正响应文件中不构成重大偏离的、微小的、非正规的、不一致的或不规则的地方，但这些修改不能影响任何供应商相应的名次排列。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5.7供应商在评审全过程中应保持通信畅通，并安排专人与采购人或采购代理机构及磋商小组联系。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6.响应文件线上格式要求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6.1供应商应当通过“苏采云”系统提交数据电文形式的响应文件（即电子投标文件）。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6.2通过“苏采云”系统提交政府采购客户端工具并导出加密的响应文件（后缀名为zip）。</w:t>
      </w:r>
      <w:r>
        <w:rPr>
          <w:rFonts w:ascii="SimSun" w:hAnsi="SimSun" w:eastAsia="SimSun" w:cs="SimSun"/>
          <w:b/>
          <w:color w:val="000000"/>
          <w:sz w:val="21"/>
        </w:rPr>
        <w:t xml:space="preserve">响应文件不得超过150M</w:t>
      </w:r>
      <w:r>
        <w:rPr>
          <w:rFonts w:ascii="SimSun" w:hAnsi="SimSun" w:eastAsia="SimSun" w:cs="SimSun"/>
          <w:color w:val="000000"/>
          <w:sz w:val="21"/>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6.3本项目采用线上投标，即供应商响应文件从政府采购客户端工具制作并通过“苏采云”系统提交，未提供线上响应文件的，投标无效。</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7.被认定为未实质性响应磋商文件的情形：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7.1供应商在苏采云系统规定的时间内未成功解密电子响应文件的。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7.2供应商未按照磋商文件要求上传电子响应文件的。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7.3同一供应商提交两个（含两个）以上不同的响应文件或者最后报价的。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7.4供应商不具备磋商文件中规定资格要求的。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7.5供应商的最后报价超过了采购预算或最高限价的。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7.6不符合磋商文件中规定的实质性要求和条件的。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7.7供应商被“信用中国”网站（www.creditchina.gov.cn）列入失信被执行人、重大税收违法失信主体名单、政府采购严重违法失信行为记录名单。或查询“信用中国”网站后发现供应商存在其他不符合《中华人民共和国政府采购法》第二十二条规定条件的信用记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7.8响应文件中含有采购人不能接受的附加条件的。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7.9响应文件未按照磋商文件要求加盖CA电子公章的。</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7.10评审过程中出现下列情形之一的，评审委员会应当启动异常低价投标（响应）审查程序： </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7.10.1投标（响应）报价低于采购项目预算50%</w:t>
      </w:r>
      <w:r>
        <w:rPr>
          <w:rFonts w:ascii="SimSun" w:hAnsi="SimSun" w:eastAsia="SimSun" w:cs="SimSun"/>
          <w:color w:val="000000"/>
          <w:sz w:val="21"/>
        </w:rPr>
        <w:t xml:space="preserve">的，即投标（响应）报价&lt;采购项目预算×50% ； </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7.10.2投标（响应）报价低于采购项目最高限价45%的，即投标（响应）报价&lt;采购项目最高限价×45% ； </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7.10.3评审委员会认定的供应商报价过低、有可能影响产品质量或者不能诚信履约的其他情形。</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 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8.未实质性响应磋商文件的响应文件按无效响应处理。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9.如果响应文件实质上没有响应磋商文件的要求，磋商小组将予以拒绝，供应商不得通过修改或撤销不符合要求的偏离或保留而使其成为实质性响应的文件。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10.供应商在项目评审全过程中应保持通讯畅通，并安排专人与采购代理机构及磋商小组联系。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11.磋商程序及评审方法和评审标准</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11.1磋商程序</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11.1.1对于通过资格审查和符合性审查的供应商，磋商小组将集中与单一供应商分别进行磋商。</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11.1.2磋商文件能够详细列明采购标的的技术、服务要求的，磋商结束后，磋商小组将在苏采云系统要求所有实质性响应的供应商在规定时间内提交最后报价。</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要求其在规定时间内提交最后报价。</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 评审方法和评审标准</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11.2.1评审方法。经磋商确定最终采购需求和提交最后报价的供应商后，由磋商小组采用综合评分法对提交最后报价的供应商的响应文件和最后报价进行综合评分。</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11.2.2评审标准</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详见本磋商文件第五章的规定。</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11.3采购活动终止的情况</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出现下列情形之一的，本次竞争性磋商采购活动将被终止：</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11.3.1因情况变化，不再符合规定的竞争性磋商采购方式适用情形的。</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11.3.2出现影响采购公正性的违法、违规行为的。</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11.3.3除本磋商文件第二章第11.1.2条第三款规定的情形外，在采购过程中符合要求的供应商或者最后报价未超过采购预算的供应商不足3家的。</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11.3.4在苏采云系统规定时间内成功解密电子响应文件的供应商不足3家的。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六、成交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1.确定成交单位</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磋商小组根据综合评分情况，按照评审得分由高到低顺序推荐3名成交候选供应商，并编写评审报告。符合本磋商文件第二章第11.1.2条规定情形的，可以推荐2名成交候选供应商。评审得分相同的，按照最后报价由低到高的顺序推荐。评审得分且最后报价相同的，按照技术指标优劣顺序推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1.2采购人从评审报告提出的成交候选供应商中，按照排序由高到低的原则确定成交供应商。采购人确定成交供应商后，采购人将在“江苏政府采购网”发布成交结果公告，公告期限为1个工作日。</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1.3成交供应商放弃成交资格、因不可抗力提出不能履行合同的，代理机构（采购人）可以确定排序紧跟该供应商的供应商为成交供应商，依此类推。或者重新组织磋商活动。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1.4若有充分证据证明，成交供应商出现下列情况之一的，一经查实，将被取消成交资格：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1.4.1提供虚假材料谋取成交的。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1.4.2向采购人或采购代理机构行贿或者为评审专家提供其他不正当利益的。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1.4.3恶意竞争，最后报价明显低于其自身合理成本且又无法提供证明的。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1.4.4属于本文件规定的无效条件，但在评审过程中又未被磋商小组发现的。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1.4.5与评审专家、采购人、其他供应商或者采购代理机构工作人员存在恶意串通的。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1.4.6采取不正当手段诋毁、排挤其他供应商的。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1.4.7成交后无正当理由拒不与采购人签订政府采购合同或者未按照磋商文件确定的事项签订政府采购合同的。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1.4.8将政府采购合同转包的。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1.5有下列情形之一的，视为供应商串通参与磋商，响应无效：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1.5.1不同供应商的响应文件由同一单位或者个人编制；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1.5.2不同供应商委托同一单位或者个人办理磋商事宜；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1.5.3不同供应商的响应文件载明的项目管理成员或者联系人员为同一人；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1.5.4不同供应商的响应文件异常一致或者响应报价呈规律性差异。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2.质疑处理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2.1提出质疑的供应商应当是参与所质疑项目采购活动的供应商。潜在供应商依法获取其可质疑的磋商文件的，可以对磋商文件提出质疑。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2.2供应商认为磋商文件、采购过程和中标、成交结果使自己的权益受到损害的，可以在知道或应知其权益受到损害之日起七个工作日内，以书面形式向采购人提出质疑。上述应知其权益受到损害之日，是指：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2.2.1对可以质疑的磋商文件提出质疑的，为收到磋商文件之日或者磋商文件公告期限届满之日；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2.2.2对采购过程提出质疑的，为各采购程序环节结束之日；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2.2.3对成交结果提出质疑的，为成交结果公告期限届满之日。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供应商应当在法定质疑期内一次性提出针对同一采购程序环节的质疑。供应商如在法定期限内对同一采购程序环节提出多次质疑的，采购人、采购代理机构将只对供应商第一次质疑作出答复。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2.3质疑函必须按照本磋商文件中《质疑函范本》要求的格式和内容进行填写。供应商如组成联合体参加磋商，则《质疑函范本》中要求签字、盖章、加盖公章之处，联合体各方均须按要求签字、盖章、加盖公章。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2.4采购人及采购代理机构只接收以纸质原件形式送达的质疑，建议投标人尽量通过邮寄方式提交质疑（采购人和代理机构不接受未填写快递运单的快件）。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采购人或采购代理机构质疑接收人及联系方式，见磋商文件第一部分。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 以下情形的质疑不予受理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2.5.1内容不符合《政府采购质疑和投诉办法》第十二条规定的质疑内容。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2.5.2超出政府采购法定期限的质疑。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2.5.3以传真、电子邮件等方式递交的非原件形式的质疑。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2.5.4未参加磋商活动的供应商或在磋商活动中自身权益未受到损害的供应商所提出的质疑。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2.5.5供应商组成联合体参加磋商，联合体中任何一方或多方未按要求签字、盖章、加盖公章的质疑。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七、成交通知书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成交结果确定后，采购人或者采购代理机构将向成交供应商发出成交通知书。请成交供应商在成交结果公告届满之日起30日内，使用CA数字证书登录苏采云系统及时下载成交通知书或联系采购代理机构领取成交通知书。因系统存储空间有限，自成交结果公告届满之日起30日后，苏采云系统不再保证提供下载成交通知书服务，因未及时下载而造成的不利后果由成交供应商自行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成交通知书将是合同的一个组成部分。对采购人和成交供应商均具有法律效力。中标、成交通知书发出后，采购人改变中标、成交结果的，或者中标、成交供应商放弃中标、成交项目的，应当依法承担法律责任。</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特别说明：成交供应商在下载成交通知书后须提供</w:t>
      </w:r>
      <w:r>
        <w:rPr>
          <w:rFonts w:ascii="SimSun" w:hAnsi="SimSun" w:eastAsia="SimSun" w:cs="SimSun"/>
          <w:b/>
          <w:color w:val="000000"/>
          <w:sz w:val="21"/>
          <w:u w:val="single"/>
        </w:rPr>
        <w:t xml:space="preserve">3套</w:t>
      </w:r>
      <w:r>
        <w:rPr>
          <w:rFonts w:ascii="SimSun" w:hAnsi="SimSun" w:eastAsia="SimSun" w:cs="SimSun"/>
          <w:b/>
          <w:color w:val="000000"/>
          <w:sz w:val="21"/>
        </w:rPr>
        <w:t xml:space="preserve">加盖公章的系统内打印的纸质响应文件给采购代理机构。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八、授予合同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1.签订合同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1.l成交供应商应当在成交通知书发出之日起三十日内，按照磋商文件确定的事项与采购人签订政府采购合同。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签订合同时需做好提交各类声明函、承诺函、业绩证明、资质证书等相应原件的核查准备；核查后发现虚假或违背承诺的，依照相关法律法规的规定处理。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1.2磋商文件、成交供应商的响应文件及磋商过程中有关澄清、承诺文件均应作为合同附件。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1.3签订合同后，成交供应商不得将合同标的进行转包。未经采购人同意，成交供应商也不得采用分包形式履行合同，否则采购人有权终止合同。转包或分包造成采购人损失的，成交供应商应承担相应赔偿责任。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2.履约保证金：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签订前，成交供应商应当按照合同价的10%向采购人缴纳履约保证金，履约保证金必须缴至采购人指定账户；履约保证金以银行转账、支票、汇票、本票或者电子履约保函(保险)、金融机构、担保机构出具的保函等非现金方式递交；履约保证金在合同履行期满后无息退还。</w:t>
      </w:r>
      <w:r/>
    </w:p>
    <w:p>
      <w:pPr>
        <w:ind w:left="0" w:right="0" w:firstLine="47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3.付款方式</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采购人按月对成交供应商提供的安保服务进行考核（考核细则由双方签订合同时商定），服务费用根据月考核结果及成交供应商提供的正规发票按季度支付。</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九、电子招标投标交易平台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电子招标投标交易平台（即“苏采云”系统，网址：</w:t>
      </w:r>
      <w:hyperlink r:id="rId15" w:tooltip="http://jszfcg.jsczt.cn/%EF%BC%89%E7%9B%B8%E5%85%B3%E8%A6%81%E6%B1%82%E6%98%AF%E6%9C%AC%E7%A3%8B%E5%95%86%E6%96%87%E4%BB%B6%E7%9A%84%E7%BB%84%E6%88%90%E9%83%A8%E5%88%86%E3%80%82" w:history="1">
        <w:r>
          <w:rPr>
            <w:rStyle w:val="810"/>
            <w:rFonts w:ascii="Times New Roman" w:hAnsi="Times New Roman" w:eastAsia="Times New Roman" w:cs="Times New Roman"/>
            <w:color w:val="000000"/>
            <w:sz w:val="21"/>
            <w:u w:val="single"/>
          </w:rPr>
          <w:t xml:space="preserve">http://jszfcg.jsczt.cn/</w:t>
        </w:r>
        <w:r>
          <w:rPr>
            <w:rStyle w:val="810"/>
            <w:rFonts w:ascii="SimSun" w:hAnsi="SimSun" w:eastAsia="SimSun" w:cs="SimSun"/>
            <w:color w:val="000000"/>
            <w:sz w:val="21"/>
            <w:u w:val="single"/>
          </w:rPr>
          <w:t xml:space="preserve">）相关要求是本磋商文件的组成部分。</w:t>
        </w:r>
      </w:hyperlink>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十、其他事项说明：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采购项目需要落实的政府采购相关法律法规及政策：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1.《中华人民共和国政府采购法》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2.《中华人民共和国政府采购法实施条例》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3.《政府采购竞争性磋商采购方式管理办法》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4.政府采购促进中小企业发展办法的通知——财库〔2020〕46号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4.1若本项目专门面向中小微企业，不再进行价格扣除。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4.2若本项目不专门面向中小微企业，执行以下政策：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4.2.1小微型企业价格扣除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（1）本项目对小型和微型企业提供的服务（产品）给予10%的扣除，按扣除后的价格参与评审。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（2）供应商需按照磋商文件的要求提供相应的《中小企业声明函》。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（3）企业划型标准请参照《关于印发中小企业划型标准规定的通知》（工信部联企业〔2011〕300号）文件规定自行填写。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4.2.2监狱和戒毒企业价格扣除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（1）本项目对监狱和戒毒企业（简称监狱企业）视同小型、微型企业，给予10%的价格扣除，按扣除后的价格参与评审。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（2）监狱企业参加政府采购活动时，需提供由省级以上监狱管理局、戒毒管理局（含新疆生产建设兵团）出具的属于监狱企业的证明文件。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（3）监狱企业标准请参照《关于政府采购支持监狱企业发展有关问题的通知》（财库〔2014〕68号）。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4.2.3残疾人福利单位价格扣除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（1）本项目对残疾人福利单位视同小型、微型企业，给予10%的价格扣除，用扣除后的价格参与评审。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（2）残疾人福利单位需按照磋商文件的要求提供《残疾人福利性单位声明函》。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（3）残疾人福利单位标准请参照《关于促进残疾人就业政府采购政策的通知》（财库〔2017〕141号）。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5.残疾人福利单位、监狱企业属于小型、微型企业的，不重复享受政策。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联合体各方均为小型、微型企业（残疾人福利单位、监狱企业）的，联合体享受10%（备注：与小微型企业价格扣除数值保持一致，确定后该备注删除）价格扣除，用扣除后的价格参与评审。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7.《江苏省财政厅关于进一步加大政府采购支持中小企业力度的通知》苏财购〔2022〕45号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8.根据《江苏省财政厅关于加强政府绿色采购有关事项的通知》（苏财购〔2023〕65号）文件精神，严格落实政府绿色采购的各项要求。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9.节能环保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本项目中如有涉及节能环保产品要求的，应当按照《财政部、发展改革委、生态环境部、市场监管总局关于调整优化节能产品、环境标志产品政府采购执行机制的通知》（财库〔2019〕9号）文件执行。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10.需求标准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本项目中如有涉及商品包装、快递包装的，应当按照《关于印发〈商品包装政府采购需求标准（试行）〉、〈快递包装政府采购需求标准（试行）〉的通知》（财办库〔2020〕123号）文件执行。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本项目中如有涉及采购绿色数据中心相关设备、运维服务的，应当按照《关于印发〈绿色数据中心政府采购需求标准（试行）〉的通知》（财办库〔2023〕7号）文件执行。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11.中标、成交供应商可凭政府采购合同办理融资贷款，详情请见泰州市政府采购网“政采贷”专栏。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65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第三章</w:t>
      </w:r>
      <w:r>
        <w:rPr>
          <w:rFonts w:ascii="SimSun" w:hAnsi="SimSun" w:eastAsia="SimSun" w:cs="SimSun"/>
          <w:b/>
          <w:color w:val="000000"/>
          <w:sz w:val="28"/>
        </w:rPr>
        <w:t xml:space="preserve"> 合同条款及格式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甲方（采购人/买方）：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乙方（供应商/卖方）：</w:t>
      </w:r>
      <w:r/>
    </w:p>
    <w:p>
      <w:pPr>
        <w:ind w:left="42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甲乙双方根据《中华人民共和国政府采购法》、《中华人民共和国民法典》和政府采购项目编号</w:t>
      </w:r>
      <w:r>
        <w:rPr>
          <w:rFonts w:ascii="SimSun" w:hAnsi="SimSun" w:eastAsia="SimSun" w:cs="SimSun"/>
          <w:color w:val="000000"/>
          <w:sz w:val="21"/>
          <w:u w:val="single"/>
        </w:rPr>
        <w:t xml:space="preserve">      </w:t>
      </w:r>
      <w:r>
        <w:rPr>
          <w:rFonts w:ascii="SimSun" w:hAnsi="SimSun" w:eastAsia="SimSun" w:cs="SimSun"/>
          <w:color w:val="000000"/>
          <w:sz w:val="21"/>
        </w:rPr>
        <w:t xml:space="preserve">的</w:t>
      </w:r>
      <w:r>
        <w:rPr>
          <w:rFonts w:ascii="SimSun" w:hAnsi="SimSun" w:eastAsia="SimSun" w:cs="SimSun"/>
          <w:color w:val="000000"/>
          <w:sz w:val="21"/>
          <w:u w:val="single"/>
        </w:rPr>
        <w:t xml:space="preserve">泰州综保区卡口安保服务项目</w:t>
      </w:r>
      <w:r>
        <w:rPr>
          <w:rFonts w:ascii="SimSun" w:hAnsi="SimSun" w:eastAsia="SimSun" w:cs="SimSun"/>
          <w:color w:val="000000"/>
          <w:sz w:val="21"/>
        </w:rPr>
        <w:t xml:space="preserve">竞争性磋商采购结果及磋商文件的要求,经协商一致,达成如下采购服务合同。</w:t>
      </w:r>
      <w:r/>
    </w:p>
    <w:p>
      <w:pPr>
        <w:ind w:left="0" w:right="0" w:firstLine="47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一、合同标的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1.服务名称：</w:t>
      </w:r>
      <w:r>
        <w:rPr>
          <w:rFonts w:ascii="SimSun" w:hAnsi="SimSun" w:eastAsia="SimSun" w:cs="SimSun"/>
          <w:color w:val="000000"/>
          <w:sz w:val="21"/>
          <w:u w:val="single"/>
        </w:rPr>
        <w:t xml:space="preserve">泰州综保区卡口安保服务项目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2.服务内容及要求：</w:t>
      </w:r>
      <w:r>
        <w:rPr>
          <w:rFonts w:ascii="SimSun" w:hAnsi="SimSun" w:eastAsia="SimSun" w:cs="SimSun"/>
          <w:color w:val="000000"/>
          <w:sz w:val="21"/>
          <w:u w:val="single"/>
        </w:rPr>
        <w:t xml:space="preserve">按照磋商文件的具体要求。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3.合同履行期限：</w:t>
      </w:r>
      <w:r>
        <w:rPr>
          <w:rFonts w:ascii="SimSun" w:hAnsi="SimSun" w:eastAsia="SimSun" w:cs="SimSun"/>
          <w:color w:val="000000"/>
          <w:sz w:val="21"/>
          <w:u w:val="single"/>
        </w:rPr>
        <w:t xml:space="preserve">                   </w:t>
      </w:r>
      <w:r>
        <w:rPr>
          <w:rFonts w:ascii="SimSun" w:hAnsi="SimSun" w:eastAsia="SimSun" w:cs="SimSun"/>
          <w:color w:val="000000"/>
          <w:sz w:val="21"/>
        </w:rPr>
        <w:t xml:space="preserve">（年  月  日至  年  月  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4.服务地点：</w:t>
      </w:r>
      <w:r>
        <w:rPr>
          <w:rFonts w:ascii="SimSun" w:hAnsi="SimSun" w:eastAsia="SimSun" w:cs="SimSun"/>
          <w:color w:val="000000"/>
          <w:sz w:val="21"/>
          <w:u w:val="single"/>
        </w:rPr>
        <w:t xml:space="preserve">            </w:t>
      </w:r>
      <w:r>
        <w:rPr>
          <w:rFonts w:ascii="SimSun" w:hAnsi="SimSun" w:eastAsia="SimSun" w:cs="SimSun"/>
          <w:b/>
          <w:color w:val="000000"/>
          <w:sz w:val="21"/>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二、合同金额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1.合同形式：固定总价合同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2.本合同金额暂定为大写：</w:t>
      </w:r>
      <w:r>
        <w:rPr>
          <w:rFonts w:ascii="SimSun" w:hAnsi="SimSun" w:eastAsia="SimSun" w:cs="SimSun"/>
          <w:color w:val="000000"/>
          <w:sz w:val="21"/>
          <w:u w:val="single"/>
        </w:rPr>
        <w:t xml:space="preserve">             </w:t>
      </w:r>
      <w:r>
        <w:rPr>
          <w:rFonts w:ascii="SimSun" w:hAnsi="SimSun" w:eastAsia="SimSun" w:cs="SimSun"/>
          <w:color w:val="000000"/>
          <w:sz w:val="21"/>
        </w:rPr>
        <w:t xml:space="preserve">； 小写：</w:t>
      </w:r>
      <w:r>
        <w:rPr>
          <w:rFonts w:ascii="SimSun" w:hAnsi="SimSun" w:eastAsia="SimSun" w:cs="SimSun"/>
          <w:color w:val="000000"/>
          <w:sz w:val="21"/>
          <w:u w:val="single"/>
        </w:rPr>
        <w:t xml:space="preserve">          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3.本合同总价款应包含为实施本项目所需的一切含税费用、支付给员工的工资和国家强制缴纳的各种社会保障资金，以及乙方认为需要的其他费用等。固定总价不随通货膨胀的影响而波动。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三、合同履行情况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本合同中约定履行的内容，根据磋商文件的具体要求执行，甲乙双方通过补充条款进行特殊约定的从其约定。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补充条款：</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7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四、验收程序</w:t>
      </w:r>
      <w:r/>
    </w:p>
    <w:p>
      <w:pPr>
        <w:ind w:left="0" w:right="0" w:firstLine="47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甲方在合同履行期间，有权依照磋商文件的相关要求对乙方提供的相关服务或交付的工作成果进行阶段性验收或总体验收。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经验收不合格的，乙方应当按照甲方要求在指定的合理期限内进行整改和完善，直至符合磋商文件要求的相关标准。逾期不予整改或经整改仍不能符合相关要求，或者导致合同目的无法实现的，甲方有权依照法律程序解除合同，并追究乙方违约责任。</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五、合同责任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1.甲方应当为乙方履行合同提供必要的支持。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甲方按照考核办法对乙方派驻人员进行考核，每月考核一次。月考评分数为100分的，全额支付当月费用；月考评分数为95-100分的（含95分），给予口头警告，支付当月费用；月考评分数为90-95分的（含90分），扣除当月费用的5%，并给予书面警告，连续两个月给予书面警告的，扣10分；月考评分数为80-90分的（含80分），扣除当月费用的20%；月考评分数为80以下的，扣除当月所在季度费用的30%；半年平均分低于90分的，甲方有权解除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3.乙方根据甲方需求合理配备安保人员，必须遵守劳动法，依法规范用工，依法签订劳动合同，保证从业人员工资不低于泰州市最低工资标准，并依法缴纳各类社会保险及人身意外伤害等保险</w:t>
      </w:r>
      <w:r>
        <w:rPr>
          <w:rFonts w:ascii="SimSun" w:hAnsi="SimSun" w:eastAsia="SimSun" w:cs="SimSun"/>
          <w:color w:val="000000"/>
          <w:sz w:val="28"/>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4.乙方人员应熟悉遵守甲方的规章制度，并按照甲方制度规范开展工作。乙方人员上岗前，应经过严格的业务培训，持证上岗，做到认真负责，按规定执勤。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5.乙方人员应服从甲方主管部门安排的其他工作，并在甲方主管部门的领导下，协助负责对纠纷制止、调解，维持甲方内部矛盾的治安秩序，保持甲方园区的安全稳定。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6.乙方工作人员在岗履行职责期间（包括上下班途中），发生自身的人身伤害、伤亡，均由乙方负责处理并承担经济赔偿责任，甲方不承担任何责任。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7.乙方因支付聘用保安人员的工资、社保及其他福利待遇而引发的相关劳动纠纷与甲方无关。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8.乙方人员执勤期间，管理区域出现物品损坏、丢失，经公安机关鉴定属于乙方责任的，由乙方负责赔偿。</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9.乙方在履行合同过程中产生的一切非因甲方过错导致的损失，均由乙方自行承担责任。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10.乙方应独立承担管理过程中的各类责任（安全责任、用工责任和经济责任等）。</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11.甲方不负责乙方所有工作人员的衣、住、行等非合同约定事项。</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12.甲乙双方均应指定专人作为本合同履行期间双方之间的联络人，所有一方相对方正式知会事项的通知到达相对方指定联络人即视为到达对方。</w:t>
      </w:r>
      <w:r/>
    </w:p>
    <w:p>
      <w:pPr>
        <w:ind w:left="0" w:right="0" w:firstLine="480"/>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甲方指定联络人：</w:t>
      </w:r>
      <w:r/>
    </w:p>
    <w:p>
      <w:pPr>
        <w:ind w:left="0" w:right="0" w:firstLine="480"/>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w:t>
      </w:r>
      <w:r/>
    </w:p>
    <w:p>
      <w:pPr>
        <w:ind w:left="0" w:right="0" w:firstLine="480"/>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乙方指定联络人：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w:t>
      </w:r>
      <w:r/>
    </w:p>
    <w:p>
      <w:pPr>
        <w:ind w:left="0" w:right="0" w:firstLine="47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六、保密条款：</w:t>
      </w:r>
      <w:r>
        <w:rPr>
          <w:rFonts w:ascii="SimSun" w:hAnsi="SimSun" w:eastAsia="SimSun" w:cs="SimSun"/>
          <w:color w:val="000000"/>
          <w:sz w:val="21"/>
        </w:rPr>
        <w:t xml:space="preserve">乙方不得将在履行本合同过程中知悉的甲方任何信息随意泄露、擅自使用。如违反本条款规定，乙方应当承担因此给甲方造成的所有直接和间接损失。</w:t>
      </w:r>
      <w:r/>
    </w:p>
    <w:p>
      <w:pPr>
        <w:ind w:left="0" w:right="0" w:firstLine="47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七、转包或分包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1.本合同禁止转包或分包，本合同范围内的服务，应由乙方直接提供的，不得转让给他人提供。</w:t>
      </w:r>
      <w:r/>
    </w:p>
    <w:p>
      <w:pPr>
        <w:ind w:left="0" w:right="0" w:firstLine="47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八、履约保证金：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1.履约保证金金额：</w:t>
      </w:r>
      <w:r>
        <w:rPr>
          <w:rFonts w:ascii="SimSun" w:hAnsi="SimSun" w:eastAsia="SimSun" w:cs="SimSun"/>
          <w:color w:val="000000"/>
          <w:sz w:val="21"/>
          <w:u w:val="single"/>
        </w:rPr>
        <w:t xml:space="preserve">       </w:t>
      </w:r>
      <w:r>
        <w:rPr>
          <w:rFonts w:ascii="SimSun" w:hAnsi="SimSun" w:eastAsia="SimSun" w:cs="SimSun"/>
          <w:color w:val="000000"/>
          <w:sz w:val="21"/>
        </w:rPr>
        <w:t xml:space="preserve">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乙方在签订合同前应向甲方缴纳成交金额10%的履约保证金，履约保证金在合同履行期满验收合格后无息退还。</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2.履约保证金缴纳方式：银行转账、支票、汇票、本票或者电子履约保函(保险)、金融机构、担保机构出具的保函等非现金方式。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3.如乙方未能履行合同规定的义务，甲方有权从履约保证金中取得补偿。</w:t>
      </w:r>
      <w:r/>
    </w:p>
    <w:p>
      <w:pPr>
        <w:ind w:left="0" w:right="0" w:firstLine="47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九、付款方式</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甲方按月对乙方提供的安保服务进行考核（考核细则由双方签订合同时商定），服务费用根据月考核结果及乙方提供的正规发票按季度支付。</w:t>
      </w:r>
      <w:r/>
    </w:p>
    <w:p>
      <w:pPr>
        <w:ind w:left="0" w:right="0" w:firstLine="47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十、税费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本合同执行中相关的一切税费均由乙方负担。</w:t>
      </w:r>
      <w:r/>
    </w:p>
    <w:p>
      <w:pPr>
        <w:ind w:left="0" w:right="0" w:firstLine="47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十一、质量保证及服务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1.乙方应按磋商文件规定及响应文件承诺的服务要求、质量标准向甲方提供服务；若无特殊说明，则按国家有关部门最新颁布的标准及规范为准。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2.乙方应保证其提供的服务是全面和规范的，并完全符合磋商文件及响应文件的要求。如因乙方提供的服务有瑕疵造成甲方损失的，所需费用由乙方承担。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3.如在服务过程中发生质量、安全问题，乙方在接到甲方通知后在1小时内到达甲方现场。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4.乙方应对所提供服务出现的质量及安全问题负责处理解决并承担一切费用。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十二、违约责任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1.合同生效后，发现乙方投标属虚假承诺，或提供的服务不能满足磋商文件要求，造成合同无法继续履行的，乙方除履约保证金不予退还外，还应向甲方支付不少于合同总价</w:t>
      </w:r>
      <w:r>
        <w:rPr>
          <w:rFonts w:ascii="SimSun" w:hAnsi="SimSun" w:eastAsia="SimSun" w:cs="SimSun"/>
          <w:color w:val="000000"/>
          <w:sz w:val="21"/>
          <w:u w:val="single"/>
        </w:rPr>
        <w:t xml:space="preserve">10</w:t>
      </w:r>
      <w:r>
        <w:rPr>
          <w:rFonts w:ascii="SimSun" w:hAnsi="SimSun" w:eastAsia="SimSun" w:cs="SimSun"/>
          <w:color w:val="000000"/>
          <w:sz w:val="21"/>
        </w:rPr>
        <w:t xml:space="preserve">%的赔偿金。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2.乙方须履行其响应文件中的其他服务承诺，否则，甲方有权解除本合同并扣除履约保证金。</w:t>
      </w:r>
      <w:r/>
    </w:p>
    <w:p>
      <w:pPr>
        <w:ind w:left="0" w:right="0" w:firstLine="47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十三、不可抗力事件的处理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在合同有效期内，甲乙双方因不可抗力事件导致不能履行合同，则合同履行期可延长，其延长期与不可抗力影响期相同。不可抗力，是指不能预见、不能避免且不能克服的客观情况，例如战争、严重的地震、洪水等。但一方违约或疏忽导致合同不能履行的不属于不可抗力因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不可抗力事件发生后，应立即通知对方，并寄送有关权威机构出具的证明。除甲方书面另行要求外，乙方应尽实际可能继续履行合同义务，以及寻求采取合理的方案履行不受不可抗力影响的其他事项。若不可抗力事件延续120天以上，双方应通过友好协商，确定是否继续履行合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十四、争议解决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1.因服务的品质质量问题发生争议的，可在国家认可的质量检测机构对服务内容质量进行鉴定。服务符合标准的，鉴定费由甲方承担；服务项目不符合质量标准的，鉴定费由乙方承担。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2.因履行本合同引起的或与本合同有关的争议，甲、乙双方应首先通过友好协商解决；如果协商不能解决争议，甲乙双方同意先采取下列两种方式的第</w:t>
      </w:r>
      <w:r>
        <w:rPr>
          <w:rFonts w:ascii="SimSun" w:hAnsi="SimSun" w:eastAsia="SimSun" w:cs="SimSun"/>
          <w:color w:val="000000"/>
          <w:sz w:val="21"/>
          <w:u w:val="single"/>
        </w:rPr>
        <w:t xml:space="preserve">（2）</w:t>
      </w:r>
      <w:r>
        <w:rPr>
          <w:rFonts w:ascii="SimSun" w:hAnsi="SimSun" w:eastAsia="SimSun" w:cs="SimSun"/>
          <w:color w:val="000000"/>
          <w:sz w:val="21"/>
        </w:rPr>
        <w:t xml:space="preserve">种方式解决争议；如仲裁不能解决争议，甲乙双方同意最终采取下列两种方式的第</w:t>
      </w:r>
      <w:r>
        <w:rPr>
          <w:rFonts w:ascii="SimSun" w:hAnsi="SimSun" w:eastAsia="SimSun" w:cs="SimSun"/>
          <w:color w:val="000000"/>
          <w:sz w:val="21"/>
          <w:u w:val="single"/>
        </w:rPr>
        <w:t xml:space="preserve">（1）</w:t>
      </w:r>
      <w:r>
        <w:rPr>
          <w:rFonts w:ascii="SimSun" w:hAnsi="SimSun" w:eastAsia="SimSun" w:cs="SimSun"/>
          <w:color w:val="000000"/>
          <w:sz w:val="21"/>
        </w:rPr>
        <w:t xml:space="preserve">种方式解决争议。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（1）向甲方所在地有管辖权的人民法院提起诉讼，适用中华人民共和国法律；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（2）向泰州市仲裁委员会按其仲裁规则申请仲裁。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3.若甲乙双方任何一方都没有选择解除合同，为避免扩大损失，在诉讼或仲裁期间，双方应继续履行合同。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十五、组成本合同的文件包括</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1.本项目的磋商文件；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2.乙方提供的响应文件；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3.成交通知书；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4.甲乙双方商定的其他文件等。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上述合同文件内容互为补充，如有不明确，由甲方负责解释。</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十六、合同生效及其他事项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1.本合同自签订之日起生效。</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2.本合同未尽事宜，遵照《中华人民共和国民法典》有关条文执行。</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3.本合同正本一式四份，具有同等法律效力，甲乙双方各执两份。</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甲方（采购人）：（盖章）                乙方（成交供应商）：（盖章）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                                  地址：</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法定代表人或授权代表：                  法定代表人或授权代表：</w:t>
      </w:r>
      <w:r/>
    </w:p>
    <w:p>
      <w:pPr>
        <w:ind w:left="0" w:right="0" w:firstLine="8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（签字或盖章）                          （签字或盖章）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                              联系电话：</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   年    月    日              日期：  年月  日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pStyle w:val="650"/>
        <w:ind w:lef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8"/>
        </w:rPr>
        <w:t xml:space="preserve">第四章</w:t>
      </w:r>
      <w:r>
        <w:rPr>
          <w:rFonts w:ascii="SimSun" w:hAnsi="SimSun" w:eastAsia="SimSun" w:cs="SimSun"/>
          <w:b/>
          <w:color w:val="ee0000"/>
          <w:sz w:val="28"/>
        </w:rPr>
        <w:t xml:space="preserve"> </w:t>
      </w:r>
      <w:r>
        <w:rPr>
          <w:rFonts w:ascii="SimSun" w:hAnsi="SimSun" w:eastAsia="SimSun" w:cs="SimSun"/>
          <w:b/>
          <w:color w:val="000000"/>
          <w:sz w:val="28"/>
        </w:rPr>
        <w:t xml:space="preserve">项目需求</w:t>
      </w:r>
      <w:r/>
    </w:p>
    <w:p>
      <w:pPr>
        <w:pStyle w:val="650"/>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一、项目概况</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项目名称</w:t>
      </w:r>
      <w:r>
        <w:rPr>
          <w:rFonts w:ascii="SimSun" w:hAnsi="SimSun" w:eastAsia="SimSun" w:cs="SimSun"/>
          <w:color w:val="000000"/>
          <w:sz w:val="21"/>
        </w:rPr>
        <w:t xml:space="preserve">：泰州综保区卡口安保服务项目</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采购单位</w:t>
      </w:r>
      <w:r>
        <w:rPr>
          <w:rFonts w:ascii="SimSun" w:hAnsi="SimSun" w:eastAsia="SimSun" w:cs="SimSun"/>
          <w:color w:val="000000"/>
          <w:sz w:val="21"/>
        </w:rPr>
        <w:t xml:space="preserve">：泰州医药高新技术产业开发区（泰州市高港区）电子信息产业园管理办公室</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二、服务内容</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泰州综合保税区作为海关特殊监管区域，建设了不间断全封闭式隔离围网及三个进出区卡口通道。按照海关相关规定，三个卡口须全天候安排专人值守。</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主要任务：</w:t>
      </w:r>
      <w:r>
        <w:rPr>
          <w:rFonts w:ascii="SimSun" w:hAnsi="SimSun" w:eastAsia="SimSun" w:cs="SimSun"/>
          <w:b/>
          <w:color w:val="000000"/>
          <w:sz w:val="21"/>
        </w:rPr>
        <w:t xml:space="preserve">一是</w:t>
      </w:r>
      <w:r>
        <w:rPr>
          <w:rFonts w:ascii="SimSun" w:hAnsi="SimSun" w:eastAsia="SimSun" w:cs="SimSun"/>
          <w:color w:val="000000"/>
          <w:sz w:val="21"/>
        </w:rPr>
        <w:t xml:space="preserve">按照海关监管要求做好外来人员及车辆的检查、登记等管理服务工作；</w:t>
      </w:r>
      <w:r>
        <w:rPr>
          <w:rFonts w:ascii="SimSun" w:hAnsi="SimSun" w:eastAsia="SimSun" w:cs="SimSun"/>
          <w:b/>
          <w:color w:val="000000"/>
          <w:sz w:val="21"/>
        </w:rPr>
        <w:t xml:space="preserve">二是</w:t>
      </w:r>
      <w:r>
        <w:rPr>
          <w:rFonts w:ascii="SimSun" w:hAnsi="SimSun" w:eastAsia="SimSun" w:cs="SimSun"/>
          <w:color w:val="000000"/>
          <w:sz w:val="21"/>
        </w:rPr>
        <w:t xml:space="preserve">负责维护好卡口秩序，引导车辆有序通行；</w:t>
      </w:r>
      <w:r>
        <w:rPr>
          <w:rFonts w:ascii="SimSun" w:hAnsi="SimSun" w:eastAsia="SimSun" w:cs="SimSun"/>
          <w:b/>
          <w:color w:val="000000"/>
          <w:sz w:val="21"/>
        </w:rPr>
        <w:t xml:space="preserve">三是</w:t>
      </w:r>
      <w:r>
        <w:rPr>
          <w:rFonts w:ascii="SimSun" w:hAnsi="SimSun" w:eastAsia="SimSun" w:cs="SimSun"/>
          <w:color w:val="000000"/>
          <w:sz w:val="21"/>
        </w:rPr>
        <w:t xml:space="preserve">规范园区施工、车辆管理，确保良好的园区工作秩序；</w:t>
      </w:r>
      <w:r>
        <w:rPr>
          <w:rFonts w:ascii="SimSun" w:hAnsi="SimSun" w:eastAsia="SimSun" w:cs="SimSun"/>
          <w:b/>
          <w:color w:val="000000"/>
          <w:sz w:val="21"/>
        </w:rPr>
        <w:t xml:space="preserve">四是</w:t>
      </w:r>
      <w:r>
        <w:rPr>
          <w:rFonts w:ascii="SimSun" w:hAnsi="SimSun" w:eastAsia="SimSun" w:cs="SimSun"/>
          <w:color w:val="000000"/>
          <w:sz w:val="21"/>
        </w:rPr>
        <w:t xml:space="preserve">负责综保区内日常巡查及区外伟创路沿线的巡查，发现异常情况第一时间上报；</w:t>
      </w:r>
      <w:r>
        <w:rPr>
          <w:rFonts w:ascii="SimSun" w:hAnsi="SimSun" w:eastAsia="SimSun" w:cs="SimSun"/>
          <w:b/>
          <w:color w:val="000000"/>
          <w:sz w:val="21"/>
        </w:rPr>
        <w:t xml:space="preserve">五是</w:t>
      </w:r>
      <w:r>
        <w:rPr>
          <w:rFonts w:ascii="SimSun" w:hAnsi="SimSun" w:eastAsia="SimSun" w:cs="SimSun"/>
          <w:color w:val="000000"/>
          <w:sz w:val="21"/>
        </w:rPr>
        <w:t xml:space="preserve">对综保区公共基础设施进行巡查，发现问题及时上报。如发现是人为问题，需及时制止；</w:t>
      </w:r>
      <w:r>
        <w:rPr>
          <w:rFonts w:ascii="SimSun" w:hAnsi="SimSun" w:eastAsia="SimSun" w:cs="SimSun"/>
          <w:b/>
          <w:color w:val="000000"/>
          <w:sz w:val="21"/>
        </w:rPr>
        <w:t xml:space="preserve">六是</w:t>
      </w:r>
      <w:r>
        <w:rPr>
          <w:rFonts w:ascii="SimSun" w:hAnsi="SimSun" w:eastAsia="SimSun" w:cs="SimSun"/>
          <w:color w:val="000000"/>
          <w:sz w:val="21"/>
        </w:rPr>
        <w:t xml:space="preserve">填写值班日志，记录巡查情况；</w:t>
      </w:r>
      <w:r>
        <w:rPr>
          <w:rFonts w:ascii="SimSun" w:hAnsi="SimSun" w:eastAsia="SimSun" w:cs="SimSun"/>
          <w:b/>
          <w:color w:val="000000"/>
          <w:sz w:val="21"/>
        </w:rPr>
        <w:t xml:space="preserve">七是</w:t>
      </w:r>
      <w:r>
        <w:rPr>
          <w:rFonts w:ascii="SimSun" w:hAnsi="SimSun" w:eastAsia="SimSun" w:cs="SimSun"/>
          <w:color w:val="000000"/>
          <w:sz w:val="21"/>
        </w:rPr>
        <w:t xml:space="preserve">协助综保区做好安全保卫工作。</w:t>
      </w:r>
      <w:r/>
    </w:p>
    <w:p>
      <w:pPr>
        <w:pStyle w:val="650"/>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三、服务时间</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服务期限为3年，计划从2025年11月14日起算（具体开始时间以采购人和中标人签订的合同为准）。</w:t>
      </w:r>
      <w:r/>
    </w:p>
    <w:p>
      <w:pPr>
        <w:pStyle w:val="650"/>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四、安保服务规范和服务要求 </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1、基本要求 </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⑴接受中标人和采购人的共同领导，接受采购人代表的现场管理。 </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⑵忠于职守，服从管理，严格执行卡口管理、园区巡逻等制度规定。</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⑶保安需持有有效的保安员证书，上岗前必须进行严格的岗前培训。</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⑷上岗时佩戴统一标志，按要求穿戴统一制服，仪容仪表规范整齐，文明工作，认真负责。 </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⑸有一定的沟通能力，言语规范，能处理访客询问、纠纷调解等事项。</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⑹中标人须配备巡逻设备及必要的防卫器材。 </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⑺保安年龄应在18周岁至50周岁之间，身高1.70米左右，男性，身体健康，具有初中以上学历。</w:t>
      </w:r>
      <w:r>
        <w:rPr>
          <w:rFonts w:ascii="SimSun" w:hAnsi="SimSun" w:eastAsia="SimSun" w:cs="SimSun"/>
          <w:color w:val="ee0000"/>
          <w:sz w:val="21"/>
        </w:rPr>
        <w:t xml:space="preserve"> </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2、服务标准</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⑴中标人人员上岗前，应设立安保工作专职小组，组织安保人员开展学习或业务培训，持证上岗，全力配合采购人做好安保工作，及时发现和排除安全隐患，做到认真负责，按规定执勤。 </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⑵综保区三个卡口都要安排24小时双人值守。 </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⑶有详细的值班日志及巡查记录，交接班记录完整，不能出现脱岗情况。 </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⑷保安人员做到白班每2小时巡视1次，夜班每1小时巡视1次，并做好记录。中标人要不定期的组织查岗，每月至少组织4次夜间查岗，查岗情况及时向采购人通报。同时按照公司制定的规章制度进行处罚或奖励。</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⑸保安人员在工作期间要接受采购人的领导和监督，遵守采购人相关制度。 </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⑹做好其它相关保安工作。</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3、其他 </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⑴在遇到采购人需要帮助时，应主动热情，积极协助完成采购人交办的临时任务。</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⑵中标人应指派1名主管领导对保安队伍进行管理，发现问题及时沟通、处理。</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⑶中标人必须严格管理，周到服务，严格遵守采购人的各项规章制度并按照采购人的制度规范开展工作，对不合格的人员随时调换（2天内）。 </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⑷部分队员需具备一定的救护能力，应对突发情况。如遇特殊情况，需做到随叫随到。</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⑸对采购人提供的工作用品，保安员应爱护使用，如因使用不当造成损坏的，当事人应承担赔偿责任。 </w:t>
      </w:r>
      <w:r/>
    </w:p>
    <w:p>
      <w:pPr>
        <w:pStyle w:val="650"/>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五、人员配备 </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泰州综保区三个卡口，每个卡口须安排双人值守，总人数18人（队长 1 名、队员17名），安排18名思想作风正派，业务素质好，工作责任心强的同志担任值勤工作。</w:t>
      </w:r>
      <w:r/>
    </w:p>
    <w:p>
      <w:pPr>
        <w:pStyle w:val="650"/>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六、其他</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1、中标人根据采购人需求合理配备安保人员，必须遵守劳动法，依法规范用工，依法签订劳动合同，保证从业人员工资不低于泰州市最低工资标准，并依法缴纳各类社会保险及人身意外伤害等保险</w:t>
      </w:r>
      <w:r>
        <w:rPr>
          <w:rFonts w:ascii="SimSun" w:hAnsi="SimSun" w:eastAsia="SimSun" w:cs="SimSun"/>
          <w:color w:val="000000"/>
          <w:sz w:val="28"/>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2、中标人的人员应服从采购人主管部门安排的其他工作，并在采购人主管部门的领导下，协助负责对纠纷制止、调解，维持采购人内部矛盾的治安秩序，保持采购人园区的安全稳定。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3、中标人的工作人员在岗履行职责期间（包括上下班途中），发生自身的人身伤害、伤亡，均由中标人负责处理并承担经济赔偿责任，采购人不承担任何责任。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4、中标人的因支付聘用保安人员的工资、社保及其他福利待遇而引发的相关劳动纠纷与采购人无关。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5、中标人的人员执勤期间，管理区域出现物品损坏、丢失，经公安机关鉴定属于中标人的责任的，由中标人负责赔偿。</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6、中标人在履行合同过程中产生的一切非因采购人过错导致的损失，均由中标人自行承担责任。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7、中标人应独立承担管理过程中的各类责任（安全责任、用工责任和经济责任等）。</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8、采购人不负责中标人的所有工作人员的衣、住、行等非合同约定事项。</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七、考核要求</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采购人按照考核办法对中标人派驻人员进行考核，每月考核一次。月考评分数为100分的，全额支付当月费用；月考评分数为95-100分的（含95分），给予口头警告，支付当月费用；月考评分数为90-95分的（含90分），扣除当月费用的5%，并给予书面警告，连续两个月给予书面警告的，扣10分；月考评分数为80-90分的（含80分），扣除当月费用的20%；月考评分数为80以下的，扣除当月所在季度费用的30%；半年平均分低于90分的，采购人有权解除合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rPr>
          <w:rFonts w:ascii="Calibri" w:hAnsi="Calibri" w:eastAsia="Calibri" w:cs="Calibri"/>
          <w:color w:val="000000"/>
          <w:sz w:val="21"/>
          <w:szCs w:val="21"/>
          <w:highlight w:val="none"/>
        </w:rPr>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highlight w:val="none"/>
        </w:rPr>
      </w:r>
      <w:r>
        <w:rPr>
          <w:rFonts w:ascii="Calibri" w:hAnsi="Calibri" w:eastAsia="Calibri" w:cs="Calibri"/>
          <w:color w:val="000000"/>
          <w:sz w:val="21"/>
          <w:highlight w:val="none"/>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pStyle w:val="65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r>
      <w:r>
        <w:rPr>
          <w:rFonts w:ascii="SimSun" w:hAnsi="SimSun" w:eastAsia="SimSun" w:cs="SimSun"/>
          <w:b/>
          <w:color w:val="000000"/>
          <w:sz w:val="28"/>
          <w:highlight w:val="none"/>
        </w:rPr>
      </w:r>
      <w:r/>
    </w:p>
    <w:p>
      <w:pPr>
        <w:pStyle w:val="650"/>
        <w:jc w:val="center"/>
        <w:spacing w:before="0" w:after="0" w:line="85" w:lineRule="atLeast"/>
        <w:rPr>
          <w:rFonts w:ascii="SimSun" w:hAnsi="SimSun" w:eastAsia="SimSun" w:cs="SimSun"/>
          <w:b/>
          <w:bCs/>
          <w:color w:val="000000"/>
          <w:sz w:val="28"/>
          <w:szCs w:val="28"/>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第五章 </w:t>
      </w:r>
      <w:r>
        <w:rPr>
          <w:rFonts w:ascii="SimSun" w:hAnsi="SimSun" w:eastAsia="SimSun" w:cs="SimSun"/>
          <w:b/>
          <w:color w:val="000000"/>
          <w:sz w:val="28"/>
        </w:rPr>
        <w:t xml:space="preserve">评审方法和评审标准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一、评审方法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采用综合评分法进行评审。磋商小组仅对确定为实质上响应磋商文件要求的响应文件进行评价和比较。由磋商小组采用综合评分法对提交最后报价的供应商的响应文件和最后报价进行综合评分。综合评分法，是指响应文件满足磋商文件全部要求且按照评审因素的量化指标评审得分最高的供应商为成交候选供应商的评审方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磋商小组将依据下列评标标准进行评审，本评标标准的总分为100分。按评审后得分由高到低顺序排列，评审得分相同的，按最后报价由低到高顺序推荐，评审得分且最后报价相同的，按技术指标优劣顺序排列。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二、评审标准（总分100分）</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79"/>
        <w:gridCol w:w="1097"/>
        <w:gridCol w:w="6980"/>
        <w:gridCol w:w="698"/>
      </w:tblGrid>
      <w:tr>
        <w:trPr>
          <w:trHeight w:val="90"/>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579" w:type="dxa"/>
            <w:vAlign w:val="center"/>
            <w:textDirection w:val="lrTb"/>
            <w:noWrap/>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1097" w:type="dxa"/>
            <w:vAlign w:val="center"/>
            <w:textDirection w:val="lrTb"/>
            <w:noWrap/>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评审</w:t>
            </w:r>
            <w:r/>
          </w:p>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因素</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6980" w:type="dxa"/>
            <w:vAlign w:val="center"/>
            <w:textDirection w:val="lrTb"/>
            <w:noWrap/>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评分标准说明</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698" w:type="dxa"/>
            <w:vAlign w:val="center"/>
            <w:textDirection w:val="lrTb"/>
            <w:noWrap/>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分值</w:t>
            </w:r>
            <w:r/>
          </w:p>
        </w:tc>
      </w:tr>
      <w:tr>
        <w:trPr>
          <w:trHeight w:val="567"/>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79" w:type="dxa"/>
            <w:vAlign w:val="center"/>
            <w:textDirection w:val="lrTb"/>
            <w:noWrap/>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w:t>
            </w:r>
            <w:r/>
          </w:p>
        </w:tc>
        <w:tc>
          <w:tcPr>
            <w:gridSpan w:val="2"/>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077" w:type="dxa"/>
            <w:vAlign w:val="center"/>
            <w:textDirection w:val="lrTb"/>
            <w:noWrap/>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投标报价部分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98" w:type="dxa"/>
            <w:vAlign w:val="center"/>
            <w:textDirection w:val="lrTb"/>
            <w:noWrap/>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15</w:t>
            </w:r>
            <w:r/>
          </w:p>
        </w:tc>
      </w:tr>
      <w:tr>
        <w:trPr>
          <w:trHeight w:val="1111"/>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79" w:type="dxa"/>
            <w:vAlign w:val="center"/>
            <w:textDirection w:val="lrTb"/>
            <w:noWrap/>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97" w:type="dxa"/>
            <w:vAlign w:val="center"/>
            <w:textDirection w:val="lrTb"/>
            <w:noWrap/>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w:t>
            </w:r>
            <w:r/>
          </w:p>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报价</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980" w:type="dxa"/>
            <w:vAlign w:val="center"/>
            <w:textDirection w:val="lrTb"/>
            <w:noWrap/>
          </w:tcPr>
          <w:p>
            <w:pPr>
              <w:ind w:left="0" w:right="0" w:firstLine="48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按满足磋商文件要求且最终有效投标价格最低的投标报价作为评审基准价，其价格分为满分；其他供应商的价格分按以下公式计算：投标报价得分＝（评审基准价/最终投标报价）×15×100%（分值保留两位小数）。</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98" w:type="dxa"/>
            <w:vAlign w:val="center"/>
            <w:textDirection w:val="lrTb"/>
            <w:noWrap/>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r>
      <w:tr>
        <w:trPr>
          <w:trHeight w:val="567"/>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79" w:type="dxa"/>
            <w:vAlign w:val="center"/>
            <w:textDirection w:val="lrTb"/>
            <w:noWrap/>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w:t>
            </w:r>
            <w:r/>
          </w:p>
        </w:tc>
        <w:tc>
          <w:tcPr>
            <w:gridSpan w:val="2"/>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077" w:type="dxa"/>
            <w:vAlign w:val="center"/>
            <w:textDirection w:val="lrTb"/>
            <w:noWrap/>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商务部分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98" w:type="dxa"/>
            <w:vAlign w:val="center"/>
            <w:textDirection w:val="lrTb"/>
            <w:noWrap/>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41</w:t>
            </w:r>
            <w:r/>
          </w:p>
        </w:tc>
      </w:tr>
      <w:tr>
        <w:trPr>
          <w:trHeight w:val="537"/>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79" w:type="dxa"/>
            <w:vAlign w:val="center"/>
            <w:textDirection w:val="lrTb"/>
            <w:noWrap/>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97" w:type="dxa"/>
            <w:vAlign w:val="center"/>
            <w:textDirection w:val="lrTb"/>
            <w:noWrap/>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业绩</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980" w:type="dxa"/>
            <w:vAlign w:val="center"/>
            <w:textDirection w:val="lrTb"/>
            <w:noWrap/>
          </w:tcPr>
          <w:p>
            <w:pPr>
              <w:ind w:left="0" w:right="0" w:firstLine="0"/>
              <w:spacing w:before="240" w:after="24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供应商自2022年1月1日（以合同签订时间为准）以来承担过党政机关或事业单位的类似安保服务项目，每提供1个业绩得3分，本项最高得12分。</w:t>
            </w:r>
            <w:r/>
          </w:p>
          <w:p>
            <w:pPr>
              <w:ind w:left="0" w:right="0" w:firstLine="48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注：同一服务单位不重复计分，响应文件中需提供合同及合同签订期间每份合同对应的任意一次结算发票并加盖供应商单位公章，未提供或提供不全的不得分。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98" w:type="dxa"/>
            <w:vAlign w:val="center"/>
            <w:textDirection w:val="lrTb"/>
            <w:noWrap/>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r>
      <w:tr>
        <w:trPr>
          <w:trHeight w:val="537"/>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79" w:type="dxa"/>
            <w:vAlign w:val="center"/>
            <w:textDirection w:val="lrTb"/>
            <w:noWrap/>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97" w:type="dxa"/>
            <w:vAlign w:val="center"/>
            <w:textDirection w:val="lrTb"/>
            <w:noWrap/>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认证</w:t>
            </w:r>
            <w:r/>
          </w:p>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证书</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980" w:type="dxa"/>
            <w:vAlign w:val="center"/>
            <w:textDirection w:val="lrTb"/>
            <w:noWrap/>
          </w:tcPr>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供应商具有有效期内的质量管理体系认证证书、环境管理体系认证证书、职业健康安全管理体系认证证书，且认证范围须包含保安服务，每提供1个证书得2分，本项最高得6分。</w:t>
            </w:r>
            <w:r/>
          </w:p>
          <w:p>
            <w:pPr>
              <w:ind w:left="0" w:right="0" w:firstLine="0"/>
              <w:spacing w:before="240" w:after="24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w:t>
            </w:r>
            <w:r>
              <w:rPr>
                <w:rFonts w:ascii="SimSun" w:hAnsi="SimSun" w:eastAsia="SimSun" w:cs="SimSun"/>
                <w:color w:val="000000"/>
                <w:sz w:val="24"/>
              </w:rPr>
              <w:t xml:space="preserve">响应文件中须提供在国家认证认可监督管理委员会官方网站（网址http://www.cnca.gov.cn/）查询的网页截图及证书复印件加盖供应商公章，未提供或提供不全的不得分。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98" w:type="dxa"/>
            <w:vAlign w:val="center"/>
            <w:textDirection w:val="lrTb"/>
            <w:noWrap/>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r>
      <w:tr>
        <w:trPr>
          <w:trHeight w:val="537"/>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79" w:type="dxa"/>
            <w:vAlign w:val="center"/>
            <w:vMerge w:val="restart"/>
            <w:textDirection w:val="lrTb"/>
            <w:noWrap/>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97" w:type="dxa"/>
            <w:vAlign w:val="center"/>
            <w:vMerge w:val="restart"/>
            <w:textDirection w:val="lrTb"/>
            <w:noWrap/>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项目组成人员</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980" w:type="dxa"/>
            <w:vAlign w:val="center"/>
            <w:textDirection w:val="lrTb"/>
            <w:noWrap/>
          </w:tcPr>
          <w:p>
            <w:pPr>
              <w:ind w:left="0" w:right="0" w:firstLine="42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1、保安队长</w:t>
            </w:r>
            <w:r/>
          </w:p>
          <w:p>
            <w:pPr>
              <w:ind w:left="0" w:right="0" w:firstLine="42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拟派本项目保安队长为退伍军人的得1分；具有保卫管理员证的得1分；具有中级保安员证得1分，高级保安员证得2分；具有初级消防设施操作证得1分，中级消防设施操作证得2分；本项最高得6分。</w:t>
            </w:r>
            <w:r/>
          </w:p>
          <w:p>
            <w:pPr>
              <w:ind w:left="0" w:right="0" w:firstLine="42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注：响应文件中须提供人员相关证书及网上查询截图、供应商为该持证员工缴纳的近三个月中任意一个月的社保证明（不含磋商当月），未提供或提供不全的不得分。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98" w:type="dxa"/>
            <w:vAlign w:val="center"/>
            <w:textDirection w:val="lrTb"/>
            <w:noWrap/>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r>
      <w:tr>
        <w:trPr>
          <w:trHeight w:val="537"/>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980" w:type="dxa"/>
            <w:vAlign w:val="center"/>
            <w:textDirection w:val="lrTb"/>
            <w:noWrap/>
          </w:tcPr>
          <w:p>
            <w:pPr>
              <w:ind w:left="0" w:right="0" w:firstLine="42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2、其他安保人员（保安队长除外）</w:t>
            </w:r>
            <w:r/>
          </w:p>
          <w:p>
            <w:pPr>
              <w:ind w:left="0" w:right="0" w:firstLine="42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（1）拟派本项目其他安保人员中，具有红十字会颁发的救护证的，每提供1个得1分，本项最高得3分。</w:t>
            </w:r>
            <w:r/>
          </w:p>
          <w:p>
            <w:pPr>
              <w:ind w:left="0" w:right="0" w:firstLine="42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注：响应文件中须提供人员相关证书及供应商为该持证员工缴纳的近三个月中任意一个月的社保证明（不含磋商当月），未提供或提供不全的不得分。</w:t>
            </w:r>
            <w:r/>
          </w:p>
          <w:p>
            <w:pPr>
              <w:ind w:left="0" w:right="0" w:firstLine="42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（2）拟派本项目</w:t>
            </w:r>
            <w:r>
              <w:rPr>
                <w:rFonts w:ascii="SimSun" w:hAnsi="SimSun" w:eastAsia="SimSun" w:cs="SimSun"/>
                <w:color w:val="000000"/>
                <w:sz w:val="20"/>
              </w:rPr>
              <w:t xml:space="preserve">其他</w:t>
            </w:r>
            <w:r>
              <w:rPr>
                <w:rFonts w:ascii="SimSun" w:hAnsi="SimSun" w:eastAsia="SimSun" w:cs="SimSun"/>
                <w:color w:val="000000"/>
                <w:sz w:val="21"/>
              </w:rPr>
              <w:t xml:space="preserve">安保人员中具备人社部门核发的国家保安员三级及以上职业资格证书的，每提供1个得2分；具备人社部门核发的国家保安员四级职业资格证书的，每提供1个得1分，本项最高得6分。</w:t>
            </w:r>
            <w:r/>
          </w:p>
          <w:p>
            <w:pPr>
              <w:ind w:left="0" w:right="0" w:firstLine="42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注：响应文件中须提供人员相关证书及网上查询截图、供应商为该持证员工缴纳的近三个月中任意一个月的社保证明（不含磋商当月），未提供或提供不全的不得分。</w:t>
            </w:r>
            <w:r/>
          </w:p>
          <w:p>
            <w:pPr>
              <w:ind w:left="0" w:right="0" w:firstLine="42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（3）拟派本项目</w:t>
            </w:r>
            <w:r>
              <w:rPr>
                <w:rFonts w:ascii="SimSun" w:hAnsi="SimSun" w:eastAsia="SimSun" w:cs="SimSun"/>
                <w:color w:val="000000"/>
                <w:sz w:val="20"/>
              </w:rPr>
              <w:t xml:space="preserve">其他</w:t>
            </w:r>
            <w:r>
              <w:rPr>
                <w:rFonts w:ascii="SimSun" w:hAnsi="SimSun" w:eastAsia="SimSun" w:cs="SimSun"/>
                <w:color w:val="000000"/>
                <w:sz w:val="21"/>
              </w:rPr>
              <w:t xml:space="preserve">安保人员中具备</w:t>
            </w:r>
            <w:r>
              <w:rPr>
                <w:rFonts w:ascii="SimSun" w:hAnsi="SimSun" w:eastAsia="SimSun" w:cs="SimSun"/>
                <w:color w:val="000000"/>
                <w:sz w:val="21"/>
                <w:highlight w:val="yellow"/>
              </w:rPr>
              <w:t xml:space="preserve">人社部门或国家消防救援局</w:t>
            </w:r>
            <w:r>
              <w:rPr>
                <w:rFonts w:ascii="SimSun" w:hAnsi="SimSun" w:eastAsia="SimSun" w:cs="SimSun"/>
                <w:color w:val="000000"/>
                <w:sz w:val="21"/>
              </w:rPr>
              <w:t xml:space="preserve">颁发的消防设施操作员中级（四级）及以上证书的，每提供1个得2分。本项最高得4分。</w:t>
            </w:r>
            <w:r/>
          </w:p>
          <w:p>
            <w:pPr>
              <w:ind w:left="0" w:right="0" w:firstLine="42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注：响应文件中须提供人员相关证书及网上查询截图、供应商为该持证员工缴纳的近三个月中任意一个月的社保证明（不含磋商当月），未提供或提供不全的不得分。</w:t>
            </w:r>
            <w:r/>
          </w:p>
          <w:p>
            <w:pPr>
              <w:ind w:left="0" w:right="0" w:firstLine="526"/>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（4）拟派本项目其他安保人员中具备退伍军人，每提供1个得1分，本项最高得4分。</w:t>
            </w:r>
            <w:r/>
          </w:p>
          <w:p>
            <w:pPr>
              <w:ind w:left="0" w:right="0" w:firstLine="42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注：响应文件中须提供人员相关证书及供应商为该持证员工缴纳的近三个月中任意一个月的社保证明（不含磋商当月），未提供或提供不全的不得分。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98" w:type="dxa"/>
            <w:vAlign w:val="center"/>
            <w:textDirection w:val="lrTb"/>
            <w:noWrap/>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w:t>
            </w:r>
            <w:r/>
          </w:p>
        </w:tc>
      </w:tr>
      <w:tr>
        <w:trPr>
          <w:trHeight w:val="567"/>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79" w:type="dxa"/>
            <w:vAlign w:val="center"/>
            <w:textDirection w:val="lrTb"/>
            <w:noWrap/>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w:t>
            </w:r>
            <w:r/>
          </w:p>
        </w:tc>
        <w:tc>
          <w:tcPr>
            <w:gridSpan w:val="2"/>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077" w:type="dxa"/>
            <w:vAlign w:val="center"/>
            <w:textDirection w:val="lrTb"/>
            <w:noWrap/>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技术部分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98" w:type="dxa"/>
            <w:vAlign w:val="center"/>
            <w:textDirection w:val="lrTb"/>
            <w:noWrap/>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44</w:t>
            </w:r>
            <w:r/>
          </w:p>
        </w:tc>
      </w:tr>
      <w:tr>
        <w:trPr>
          <w:trHeight w:val="567"/>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79" w:type="dxa"/>
            <w:vAlign w:val="center"/>
            <w:textDirection w:val="lrTb"/>
            <w:noWrap/>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97" w:type="dxa"/>
            <w:vAlign w:val="center"/>
            <w:textDirection w:val="lrTb"/>
            <w:noWrap/>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服务方案</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980" w:type="dxa"/>
            <w:vAlign w:val="center"/>
            <w:textDirection w:val="lrTb"/>
            <w:noWrap/>
          </w:tcPr>
          <w:p>
            <w:pPr>
              <w:ind w:left="0" w:right="0" w:firstLine="420"/>
              <w:jc w:val="both"/>
              <w:spacing w:before="0" w:after="0" w:line="65" w:lineRule="atLeast"/>
              <w:rPr>
                <w:rFonts w:ascii="SimSun" w:hAnsi="SimSun" w:eastAsia="SimSun" w:cs="SimSun"/>
                <w:color w:val="000000"/>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r>
            <w:r>
              <w:rPr>
                <w:rFonts w:ascii="SimSun" w:hAnsi="SimSun" w:eastAsia="SimSun" w:cs="SimSun"/>
                <w:color w:val="000000"/>
                <w:sz w:val="21"/>
              </w:rPr>
              <w:t xml:space="preserve">磋商小组根据供应商提供的安保服务的整体方案和策划思路进行评分。</w:t>
            </w:r>
            <w:r/>
          </w:p>
          <w:p>
            <w:pPr>
              <w:ind w:left="0" w:right="0" w:firstLine="420"/>
              <w:jc w:val="both"/>
              <w:spacing w:before="0" w:after="0" w:line="65" w:lineRule="atLeast"/>
              <w:rPr>
                <w:rFonts w:ascii="SimSun" w:hAnsi="SimSun" w:eastAsia="SimSun" w:cs="SimSun"/>
                <w:color w:val="000000"/>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1.方案全面完善、合理、可行性强，思路清晰，得8分；</w:t>
            </w:r>
            <w:r/>
          </w:p>
          <w:p>
            <w:pPr>
              <w:ind w:left="0" w:right="0" w:firstLine="420"/>
              <w:jc w:val="both"/>
              <w:spacing w:before="0" w:after="0" w:line="65" w:lineRule="atLeast"/>
              <w:rPr>
                <w:rFonts w:ascii="SimSun" w:hAnsi="SimSun" w:eastAsia="SimSun" w:cs="SimSun"/>
                <w:color w:val="000000"/>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2.方案较全面完善、较合理、可行性较强，思路较清晰，得4分；</w:t>
            </w:r>
            <w:r/>
          </w:p>
          <w:p>
            <w:pPr>
              <w:ind w:left="0" w:right="0" w:firstLine="420"/>
              <w:jc w:val="both"/>
              <w:spacing w:before="0" w:after="0" w:line="65" w:lineRule="atLeast"/>
              <w:rPr>
                <w:rFonts w:ascii="SimSun" w:hAnsi="SimSun" w:eastAsia="SimSun" w:cs="SimSun"/>
                <w:color w:val="000000"/>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3.方案基本全面、基本合理、可行性一般，思路一般，得1分；</w:t>
            </w:r>
            <w:r/>
          </w:p>
          <w:p>
            <w:pPr>
              <w:ind w:left="0" w:right="0" w:firstLine="42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4.无具体描述的不得分。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98" w:type="dxa"/>
            <w:vAlign w:val="center"/>
            <w:textDirection w:val="lrTb"/>
            <w:noWrap/>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r>
      <w:tr>
        <w:trPr>
          <w:trHeight w:val="567"/>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79" w:type="dxa"/>
            <w:vAlign w:val="center"/>
            <w:textDirection w:val="lrTb"/>
            <w:noWrap/>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97" w:type="dxa"/>
            <w:vAlign w:val="center"/>
            <w:textDirection w:val="lrTb"/>
            <w:noWrap/>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内部管理制度</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980" w:type="dxa"/>
            <w:vAlign w:val="center"/>
            <w:textDirection w:val="lrTb"/>
            <w:noWrap/>
          </w:tcPr>
          <w:p>
            <w:pPr>
              <w:ind w:left="0" w:right="0" w:firstLine="42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磋商小组根据供应商提供的内部各项管理制度进行评分。</w:t>
            </w:r>
            <w:r/>
          </w:p>
          <w:p>
            <w:pPr>
              <w:ind w:left="0" w:right="0" w:firstLine="42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1.内部管理各项制度全面规范、合理、可行性强，得8分；</w:t>
            </w:r>
            <w:r/>
          </w:p>
          <w:p>
            <w:pPr>
              <w:ind w:left="0" w:right="0" w:firstLine="42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2.内部管理各项制度较全面规范、较合理、可行性较强，得4分；</w:t>
            </w:r>
            <w:r/>
          </w:p>
          <w:p>
            <w:pPr>
              <w:ind w:left="0" w:right="0" w:firstLine="42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3.内部管理各项制度基本全面规范、基本合理、可行性一般，得1分；</w:t>
            </w:r>
            <w:r/>
          </w:p>
          <w:p>
            <w:pPr>
              <w:ind w:left="0" w:right="0" w:firstLine="42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4.无具体描述的不得分。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98" w:type="dxa"/>
            <w:vAlign w:val="center"/>
            <w:textDirection w:val="lrTb"/>
            <w:noWrap/>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r>
      <w:tr>
        <w:trPr>
          <w:trHeight w:val="567"/>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79" w:type="dxa"/>
            <w:vAlign w:val="center"/>
            <w:textDirection w:val="lrTb"/>
            <w:noWrap/>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97" w:type="dxa"/>
            <w:vAlign w:val="center"/>
            <w:textDirection w:val="lrTb"/>
            <w:noWrap/>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安保措施、服务标准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980" w:type="dxa"/>
            <w:vAlign w:val="center"/>
            <w:textDirection w:val="lrTb"/>
            <w:noWrap/>
          </w:tcPr>
          <w:p>
            <w:pPr>
              <w:ind w:left="0" w:right="0" w:firstLine="42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磋商小组根据供应商提供的安保措施、服务标准进行评分。</w:t>
            </w:r>
            <w:r/>
          </w:p>
          <w:p>
            <w:pPr>
              <w:ind w:left="0" w:right="0" w:firstLine="42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1.各类安保措施完善合理、服务标准完全符合项目要求，得7分；</w:t>
            </w:r>
            <w:r/>
          </w:p>
          <w:p>
            <w:pPr>
              <w:ind w:left="0" w:right="0" w:firstLine="42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2.各类安保措施较完善合理、服务标准符合项目要求，得4分；</w:t>
            </w:r>
            <w:r/>
          </w:p>
          <w:p>
            <w:pPr>
              <w:ind w:left="0" w:right="0" w:firstLine="42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3.各类安保措施基本合理、服务标准基本符合项目要求，得1分；</w:t>
            </w:r>
            <w:r/>
          </w:p>
          <w:p>
            <w:pPr>
              <w:ind w:left="0" w:right="0" w:firstLine="42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4.无具体描述的不得分。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98" w:type="dxa"/>
            <w:vAlign w:val="center"/>
            <w:textDirection w:val="lrTb"/>
            <w:noWrap/>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r>
      <w:tr>
        <w:trPr>
          <w:trHeight w:val="567"/>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79" w:type="dxa"/>
            <w:vAlign w:val="center"/>
            <w:textDirection w:val="lrTb"/>
            <w:noWrap/>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97" w:type="dxa"/>
            <w:vAlign w:val="center"/>
            <w:textDirection w:val="lrTb"/>
            <w:noWrap/>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员工管理制度和培训方案</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980" w:type="dxa"/>
            <w:vAlign w:val="center"/>
            <w:textDirection w:val="lrTb"/>
            <w:noWrap/>
          </w:tcPr>
          <w:p>
            <w:pPr>
              <w:ind w:left="0" w:right="0" w:firstLine="42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磋商小组根据供应商提供的员工管理制度和培训方案进行评分。</w:t>
            </w:r>
            <w:r/>
          </w:p>
          <w:p>
            <w:pPr>
              <w:ind w:left="0" w:right="0" w:firstLine="42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1.员工管理制度和培训方案完整齐全，针对性强，得7分；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2.员工管理制度和培训方案较完整齐全，针对性较强，得4分；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3.员工管理制度和培训方案基本完整齐全，针对性一般，得1分</w:t>
            </w:r>
            <w:r>
              <w:rPr>
                <w:rFonts w:ascii="SimSun" w:hAnsi="SimSun" w:eastAsia="SimSun" w:cs="SimSun"/>
                <w:color w:val="000000"/>
                <w:sz w:val="22"/>
              </w:rPr>
              <w:t xml:space="preserve">；</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4.无具体描述的不得分。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98" w:type="dxa"/>
            <w:vAlign w:val="center"/>
            <w:textDirection w:val="lrTb"/>
            <w:noWrap/>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r>
      <w:tr>
        <w:trPr>
          <w:trHeight w:val="567"/>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79" w:type="dxa"/>
            <w:vAlign w:val="center"/>
            <w:textDirection w:val="lrTb"/>
            <w:noWrap/>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97" w:type="dxa"/>
            <w:vAlign w:val="center"/>
            <w:textDirection w:val="lrTb"/>
            <w:noWrap/>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服务承诺、质量保证</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980" w:type="dxa"/>
            <w:vAlign w:val="center"/>
            <w:textDirection w:val="lrTb"/>
            <w:noWrap/>
          </w:tcPr>
          <w:p>
            <w:pPr>
              <w:ind w:left="0" w:right="0" w:firstLine="42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磋商小组根据供应商提供的服务承诺、质量保证进行评分。</w:t>
            </w:r>
            <w:r/>
          </w:p>
          <w:p>
            <w:pPr>
              <w:ind w:left="0" w:right="0" w:firstLine="42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1.服务承诺及质量保证完全满足采购人要求、可行性强，得7分；</w:t>
            </w:r>
            <w:r/>
          </w:p>
          <w:p>
            <w:pPr>
              <w:ind w:left="0" w:right="0" w:firstLine="42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2.服务承诺及质量保证满足采购人要求、可行性较强，得4分；</w:t>
            </w:r>
            <w:r/>
          </w:p>
          <w:p>
            <w:pPr>
              <w:ind w:left="0" w:right="0" w:firstLine="42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3.服务承诺及质量保证基本满足采购人要求、可行性一般，得1分，</w:t>
            </w:r>
            <w:r/>
          </w:p>
          <w:p>
            <w:pPr>
              <w:ind w:left="0" w:right="0" w:firstLine="42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4.无具体描述的不得分。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98" w:type="dxa"/>
            <w:vAlign w:val="center"/>
            <w:textDirection w:val="lrTb"/>
            <w:noWrap/>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r>
      <w:tr>
        <w:trPr>
          <w:trHeight w:val="399"/>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79" w:type="dxa"/>
            <w:vAlign w:val="center"/>
            <w:textDirection w:val="lrTb"/>
            <w:noWrap/>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97" w:type="dxa"/>
            <w:vAlign w:val="center"/>
            <w:textDirection w:val="lrTb"/>
            <w:noWrap/>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突发事件的应急预案及相应的措施</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980" w:type="dxa"/>
            <w:vAlign w:val="center"/>
            <w:textDirection w:val="lrTb"/>
            <w:noWrap/>
          </w:tcPr>
          <w:p>
            <w:pPr>
              <w:ind w:left="0" w:right="0" w:firstLine="42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磋商小组根据供应商提供的处理突发事件的应急预案及相应的措施进行评分。</w:t>
            </w:r>
            <w:r/>
          </w:p>
          <w:p>
            <w:pPr>
              <w:ind w:left="0" w:right="0" w:firstLine="42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1.措施全面、合理有效、针对性强，得7分；</w:t>
            </w:r>
            <w:r/>
          </w:p>
          <w:p>
            <w:pPr>
              <w:ind w:left="0" w:right="0" w:firstLine="42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2.措施较全面、较合理有效、针对性较强，得4分；</w:t>
            </w:r>
            <w:r/>
          </w:p>
          <w:p>
            <w:pPr>
              <w:ind w:left="0" w:right="0" w:firstLine="42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3.措施基本全面、基本合理有效、针对性一般，得1分；</w:t>
            </w:r>
            <w:r/>
          </w:p>
          <w:p>
            <w:pPr>
              <w:ind w:left="0" w:right="0" w:firstLine="42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4.无具体描述的不得分。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98" w:type="dxa"/>
            <w:vAlign w:val="center"/>
            <w:textDirection w:val="lrTb"/>
            <w:noWrap/>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r>
    </w:tbl>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注：（</w:t>
      </w:r>
      <w:r>
        <w:rPr>
          <w:rFonts w:ascii="SimSun" w:hAnsi="SimSun" w:eastAsia="SimSun" w:cs="SimSun"/>
          <w:color w:val="000000"/>
          <w:sz w:val="21"/>
        </w:rPr>
        <w:t xml:space="preserve">1</w:t>
      </w:r>
      <w:r>
        <w:rPr>
          <w:rFonts w:ascii="SimSun" w:hAnsi="SimSun" w:eastAsia="SimSun" w:cs="SimSun"/>
          <w:color w:val="000000"/>
          <w:sz w:val="21"/>
          <w:u w:val="none"/>
        </w:rPr>
        <w:t xml:space="preserve">）针对评分标准中评分的每一条，响应单位均应提供相关资料。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（2）磋商响应文件中如出现前后不一致时,磋商小组有权要求投标供应商作出澄清说明。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（3）响应单位必须保证全部投标资料的真实性，采购单位有权在采购的任何阶段调查和核实相关原件，若不能按时提供或提供虚假材料的，采购人将取消其中标资格。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（4）供应商的最终得分取磋商小组各成员所评定分值的平均值（小数点后保留两位）。</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center"/>
        <w:spacing w:before="240" w:after="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第六章 响应文件的组成及格式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1"/>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一、资格审查文件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1.法定代表人身份证明书及法定代表人身份证复印件；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2.法定代表人授权委托书、授权委托人身份证复印件及近三个月内在供应商单位为其缴纳的任意一个月社保相关证明材料复印件（法定代表人亲自参加磋商的除外）；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3.供应商营业执照复印件；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4.供应商近六个月中任意一个月（不含磋商当月）的财务状况报告（资产负债表和利润表）或由会计师事务所出具的近两年中任意一个年度的审计报告和所附已审财务报告扫描件；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5.供应商近六个月中任意一个月（不含磋商当月）的依法缴纳税收的相关材料（提供相关主管部门证明或银行代扣证明）扫描件；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6.供应商近六个月中任意一个月（不含磋商当月）的所在地社保机构出具的社保缴费证明材料，成立不满一年的投标人无需提供社保缴费证明材料，但需提供书面情况说明及相关凭证；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7.供应商符合《中华人民共和国政府采购法》第二十二条规定条件的供应商资格声明书；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8.诚信承诺书；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9.供应商未被列入失信被执行人名单、重大税收违法失信主体名单、政府采购严重违法失信行为记录名单网站查询证明材料；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10.《中小企业声明函》或《残疾人福利性单位声明函》或监狱和戒毒企业证明材料。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注：上述1—10中任何一条不符合要求，则资格性审查不通过，按无效响应文件处理。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（磋商文件要求提供的</w:t>
      </w:r>
      <w:r>
        <w:rPr>
          <w:rFonts w:ascii="SimSun" w:hAnsi="SimSun" w:eastAsia="SimSun" w:cs="SimSun"/>
          <w:b/>
          <w:color w:val="000000"/>
          <w:sz w:val="21"/>
        </w:rPr>
        <w:t xml:space="preserve">资格审查证明材料</w:t>
      </w:r>
      <w:r>
        <w:rPr>
          <w:rFonts w:ascii="SimSun" w:hAnsi="SimSun" w:eastAsia="SimSun" w:cs="SimSun"/>
          <w:color w:val="000000"/>
          <w:sz w:val="21"/>
        </w:rPr>
        <w:t xml:space="preserve">中没有对应的接口上传的资料，可以在本部分的其他材料的接口中上传）</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二、符合性审查文件</w:t>
      </w:r>
      <w:r>
        <w:rPr>
          <w:rFonts w:ascii="SimSun" w:hAnsi="SimSun" w:eastAsia="SimSun" w:cs="SimSun"/>
          <w:color w:val="000000"/>
          <w:sz w:val="21"/>
        </w:rPr>
        <w:t xml:space="preserve">（格式参见第六章）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1.磋商响应函；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2.分项报价表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3.供应商情况表；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4.服务响应及偏离表；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5.商务条款响应及偏离表；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6.第四章项目需求中要求提供的材料（如有）；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7.项目组成人员表；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8.供应商认为需要提交的其他资料（如有）。</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三、商务技术响应文件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1.评审办法中所涉及的事项需提供的所有资料；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2.评审办法中未涉及的事项，供应商认为需要提交的其他资料。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注：为方便评委评审，请供应商按评审办法中所涉及的事项顺序进行编制，可以补充相关材料；</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四、报价响应文件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1.首次响应报价表（开标一览表）；</w:t>
      </w:r>
      <w:r/>
    </w:p>
    <w:p>
      <w:pPr>
        <w:ind w:left="0" w:right="0" w:firstLine="422"/>
        <w:jc w:val="both"/>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2.二次报价将在开标系统内填写。考虑磋商报价的方便，供应商在填写最终承诺报价后，（第一次报价－最终承诺报价）除以第一次报价后得出的优惠率视同为需求表中全部分项设备或服务的优惠浮动值（特定分项优惠除外）。此优惠率调整原则适用于合同内价格的计算及项目增减、变更时价格的计算。</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封面</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72"/>
        </w:rPr>
        <w:t xml:space="preserve"> </w:t>
      </w:r>
      <w:r/>
    </w:p>
    <w:p>
      <w:pPr>
        <w:ind w:left="0" w:right="0" w:firstLine="321"/>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泰州综保区卡口安保服务项目</w:t>
      </w:r>
      <w:r/>
    </w:p>
    <w:p>
      <w:pPr>
        <w:ind w:left="0" w:right="0" w:firstLine="321"/>
        <w:spacing w:before="240" w:after="240" w:line="85" w:lineRule="atLeast"/>
        <w:pBdr>
          <w:top w:val="none" w:color="000000" w:sz="4" w:space="0"/>
          <w:left w:val="none" w:color="000000" w:sz="4" w:space="0"/>
          <w:bottom w:val="none" w:color="000000" w:sz="4" w:space="0"/>
          <w:right w:val="none" w:color="000000" w:sz="4" w:space="0"/>
        </w:pBdr>
      </w:pPr>
      <w:r>
        <w:rPr>
          <w:rFonts w:ascii="NSimSun" w:hAnsi="NSimSun" w:eastAsia="NSimSun" w:cs="NSimSun"/>
          <w:b/>
          <w:color w:val="000000"/>
          <w:sz w:val="32"/>
        </w:rPr>
        <w:t xml:space="preserve"> </w:t>
      </w:r>
      <w:r/>
    </w:p>
    <w:p>
      <w:pPr>
        <w:ind w:left="0" w:right="0" w:firstLine="2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响</w:t>
      </w:r>
      <w:r>
        <w:rPr>
          <w:rFonts w:ascii="Microsoft New Tai Lue" w:hAnsi="Microsoft New Tai Lue" w:eastAsia="Microsoft New Tai Lue" w:cs="Microsoft New Tai Lue"/>
          <w:b/>
          <w:color w:val="000000"/>
          <w:sz w:val="84"/>
        </w:rPr>
        <w:t xml:space="preserve">  </w:t>
      </w:r>
      <w:r>
        <w:rPr>
          <w:rFonts w:ascii="SimSun" w:hAnsi="SimSun" w:eastAsia="SimSun" w:cs="SimSun"/>
          <w:b/>
          <w:color w:val="000000"/>
          <w:sz w:val="84"/>
        </w:rPr>
        <w:t xml:space="preserve">应</w:t>
      </w:r>
      <w:r>
        <w:rPr>
          <w:rFonts w:ascii="Microsoft New Tai Lue" w:hAnsi="Microsoft New Tai Lue" w:eastAsia="Microsoft New Tai Lue" w:cs="Microsoft New Tai Lue"/>
          <w:b/>
          <w:color w:val="000000"/>
          <w:sz w:val="84"/>
        </w:rPr>
        <w:t xml:space="preserve"> </w:t>
      </w:r>
      <w:r>
        <w:rPr>
          <w:rFonts w:ascii="SimSun" w:hAnsi="SimSun" w:eastAsia="SimSun" w:cs="SimSun"/>
          <w:b/>
          <w:color w:val="000000"/>
          <w:sz w:val="84"/>
        </w:rPr>
        <w:t xml:space="preserve">文</w:t>
      </w:r>
      <w:r>
        <w:rPr>
          <w:rFonts w:ascii="Microsoft New Tai Lue" w:hAnsi="Microsoft New Tai Lue" w:eastAsia="Microsoft New Tai Lue" w:cs="Microsoft New Tai Lue"/>
          <w:b/>
          <w:color w:val="000000"/>
          <w:sz w:val="84"/>
        </w:rPr>
        <w:t xml:space="preserve"> </w:t>
      </w:r>
      <w:r>
        <w:rPr>
          <w:rFonts w:ascii="SimSun" w:hAnsi="SimSun" w:eastAsia="SimSun" w:cs="SimSun"/>
          <w:b/>
          <w:color w:val="000000"/>
          <w:sz w:val="84"/>
        </w:rPr>
        <w:t xml:space="preserve">件</w:t>
      </w:r>
      <w:r/>
    </w:p>
    <w:p>
      <w:pPr>
        <w:ind w:left="0" w:right="64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44"/>
        </w:rPr>
        <w:t xml:space="preserve"> </w:t>
      </w:r>
      <w:r/>
    </w:p>
    <w:p>
      <w:pPr>
        <w:ind w:left="0" w:right="640" w:firstLine="220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项目编号：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供应商名称：</w:t>
      </w:r>
      <w:r>
        <w:rPr>
          <w:rFonts w:ascii="Microsoft New Tai Lue" w:hAnsi="Microsoft New Tai Lue" w:eastAsia="Microsoft New Tai Lue" w:cs="Microsoft New Tai Lue"/>
          <w:b/>
          <w:color w:val="000000"/>
          <w:sz w:val="32"/>
        </w:rPr>
        <w:t xml:space="preserve">_____________________</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地址：</w:t>
      </w:r>
      <w:r>
        <w:rPr>
          <w:rFonts w:ascii="Microsoft New Tai Lue" w:hAnsi="Microsoft New Tai Lue" w:eastAsia="Microsoft New Tai Lue" w:cs="Microsoft New Tai Lue"/>
          <w:b/>
          <w:color w:val="000000"/>
          <w:sz w:val="32"/>
        </w:rPr>
        <w:t xml:space="preserve">_____________________</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二〇二五年</w:t>
      </w:r>
      <w:r>
        <w:rPr>
          <w:rFonts w:ascii="Microsoft New Tai Lue" w:hAnsi="Microsoft New Tai Lue" w:eastAsia="Microsoft New Tai Lue" w:cs="Microsoft New Tai Lue"/>
          <w:b/>
          <w:color w:val="000000"/>
          <w:sz w:val="32"/>
        </w:rPr>
        <w:t xml:space="preserve">  </w:t>
      </w:r>
      <w:r>
        <w:rPr>
          <w:rFonts w:ascii="SimSun" w:hAnsi="SimSun" w:eastAsia="SimSun" w:cs="SimSun"/>
          <w:b/>
          <w:color w:val="000000"/>
          <w:sz w:val="32"/>
        </w:rPr>
        <w:t xml:space="preserve">月</w:t>
      </w:r>
      <w:r>
        <w:rPr>
          <w:rFonts w:ascii="Microsoft New Tai Lue" w:hAnsi="Microsoft New Tai Lue" w:eastAsia="Microsoft New Tai Lue" w:cs="Microsoft New Tai Lue"/>
          <w:b/>
          <w:color w:val="000000"/>
          <w:sz w:val="32"/>
        </w:rPr>
        <w:t xml:space="preserve">  </w:t>
      </w:r>
      <w:r>
        <w:rPr>
          <w:rFonts w:ascii="SimSun" w:hAnsi="SimSun" w:eastAsia="SimSun" w:cs="SimSun"/>
          <w:b/>
          <w:color w:val="000000"/>
          <w:sz w:val="32"/>
        </w:rPr>
        <w:t xml:space="preserve">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1.法定代表人身份证明书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单位名称：</w:t>
      </w:r>
      <w:r>
        <w:rPr>
          <w:rFonts w:ascii="SimSun" w:hAnsi="SimSun" w:eastAsia="SimSun" w:cs="SimSun"/>
          <w:color w:val="000000"/>
          <w:sz w:val="21"/>
          <w:u w:val="singl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单位性质：</w:t>
      </w:r>
      <w:r>
        <w:rPr>
          <w:rFonts w:ascii="SimSun" w:hAnsi="SimSun" w:eastAsia="SimSun" w:cs="SimSun"/>
          <w:color w:val="000000"/>
          <w:sz w:val="21"/>
          <w:u w:val="singl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w:t>
      </w:r>
      <w:r>
        <w:rPr>
          <w:rFonts w:ascii="SimSun" w:hAnsi="SimSun" w:eastAsia="SimSun" w:cs="SimSun"/>
          <w:color w:val="000000"/>
          <w:sz w:val="21"/>
          <w:u w:val="singl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成立时间：</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经营期限：</w:t>
      </w:r>
      <w:r>
        <w:rPr>
          <w:rFonts w:ascii="SimSun" w:hAnsi="SimSun" w:eastAsia="SimSun" w:cs="SimSun"/>
          <w:color w:val="000000"/>
          <w:sz w:val="21"/>
          <w:u w:val="singl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    名：</w:t>
      </w:r>
      <w:r>
        <w:rPr>
          <w:rFonts w:ascii="SimSun" w:hAnsi="SimSun" w:eastAsia="SimSun" w:cs="SimSun"/>
          <w:color w:val="000000"/>
          <w:sz w:val="21"/>
          <w:u w:val="single"/>
        </w:rPr>
        <w:t xml:space="preserve">             </w:t>
      </w:r>
      <w:r>
        <w:rPr>
          <w:rFonts w:ascii="SimSun" w:hAnsi="SimSun" w:eastAsia="SimSun" w:cs="SimSun"/>
          <w:color w:val="000000"/>
          <w:sz w:val="21"/>
        </w:rPr>
        <w:t xml:space="preserve">性别：</w:t>
      </w:r>
      <w:r>
        <w:rPr>
          <w:rFonts w:ascii="SimSun" w:hAnsi="SimSun" w:eastAsia="SimSun" w:cs="SimSun"/>
          <w:color w:val="000000"/>
          <w:sz w:val="21"/>
          <w:u w:val="single"/>
        </w:rPr>
        <w:t xml:space="preserve">          </w:t>
      </w:r>
      <w:r>
        <w:rPr>
          <w:rFonts w:ascii="SimSun" w:hAnsi="SimSun" w:eastAsia="SimSun" w:cs="SimSun"/>
          <w:color w:val="000000"/>
          <w:sz w:val="21"/>
        </w:rPr>
        <w:t xml:space="preserve">年龄：</w:t>
      </w:r>
      <w:r>
        <w:rPr>
          <w:rFonts w:ascii="SimSun" w:hAnsi="SimSun" w:eastAsia="SimSun" w:cs="SimSun"/>
          <w:color w:val="000000"/>
          <w:sz w:val="21"/>
          <w:u w:val="single"/>
        </w:rPr>
        <w:t xml:space="preserve">            </w:t>
      </w:r>
      <w:r>
        <w:rPr>
          <w:rFonts w:ascii="SimSun" w:hAnsi="SimSun" w:eastAsia="SimSun" w:cs="SimSun"/>
          <w:color w:val="000000"/>
          <w:sz w:val="21"/>
        </w:rPr>
        <w:t xml:space="preserve">职务：</w:t>
      </w:r>
      <w:r>
        <w:rPr>
          <w:rFonts w:ascii="SimSun" w:hAnsi="SimSun" w:eastAsia="SimSun" w:cs="SimSun"/>
          <w:color w:val="000000"/>
          <w:sz w:val="21"/>
          <w:u w:val="single"/>
        </w:rPr>
        <w:t xml:space="preserve">               </w:t>
      </w:r>
      <w:r>
        <w:rPr>
          <w:rFonts w:ascii="SimSun" w:hAnsi="SimSun" w:eastAsia="SimSun" w:cs="SimSun"/>
          <w:color w:val="000000"/>
          <w:sz w:val="21"/>
        </w:rPr>
        <w:t xml:space="preserve">手机（必填）：</w:t>
      </w:r>
      <w:r>
        <w:rPr>
          <w:rFonts w:ascii="SimSun" w:hAnsi="SimSun" w:eastAsia="SimSun" w:cs="SimSun"/>
          <w:color w:val="000000"/>
          <w:sz w:val="21"/>
          <w:u w:val="single"/>
        </w:rPr>
        <w:t xml:space="preserve">                   </w:t>
      </w:r>
      <w:r>
        <w:rPr>
          <w:rFonts w:ascii="SimSun" w:hAnsi="SimSun" w:eastAsia="SimSun" w:cs="SimSun"/>
          <w:color w:val="000000"/>
          <w:sz w:val="21"/>
        </w:rPr>
        <w:t xml:space="preserve">系：</w:t>
      </w:r>
      <w:r>
        <w:rPr>
          <w:rFonts w:ascii="SimSun" w:hAnsi="SimSun" w:eastAsia="SimSun" w:cs="SimSun"/>
          <w:color w:val="000000"/>
          <w:sz w:val="21"/>
          <w:u w:val="single"/>
        </w:rPr>
        <w:t xml:space="preserve">     （响应供应商名称）            </w:t>
      </w:r>
      <w:r>
        <w:rPr>
          <w:rFonts w:ascii="SimSun" w:hAnsi="SimSun" w:eastAsia="SimSun" w:cs="SimSun"/>
          <w:color w:val="000000"/>
          <w:sz w:val="21"/>
        </w:rPr>
        <w:t xml:space="preserve">的法定代表人。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特此证明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供应商单位：</w:t>
      </w:r>
      <w:r>
        <w:rPr>
          <w:rFonts w:ascii="SimSun" w:hAnsi="SimSun" w:eastAsia="SimSun" w:cs="SimSun"/>
          <w:color w:val="000000"/>
          <w:sz w:val="21"/>
          <w:u w:val="single"/>
        </w:rPr>
        <w:t xml:space="preserve">（加盖CA电子公章）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法定代表人（单位负责人）有效期内的身份证复印件（正反面）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pStyle w:val="652"/>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2.法定代表人授权委托书</w:t>
      </w:r>
      <w:r/>
    </w:p>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本授权书声明：</w:t>
      </w:r>
      <w:r>
        <w:rPr>
          <w:rFonts w:ascii="SimSun" w:hAnsi="SimSun" w:eastAsia="SimSun" w:cs="SimSun"/>
          <w:color w:val="000000"/>
          <w:sz w:val="21"/>
          <w:u w:val="single"/>
        </w:rPr>
        <w:t xml:space="preserve">      （供应商名称）</w:t>
      </w:r>
      <w:r>
        <w:rPr>
          <w:rFonts w:ascii="SimSun" w:hAnsi="SimSun" w:eastAsia="SimSun" w:cs="SimSun"/>
          <w:color w:val="000000"/>
          <w:sz w:val="21"/>
        </w:rPr>
        <w:t xml:space="preserve">授权</w:t>
      </w:r>
      <w:r>
        <w:rPr>
          <w:rFonts w:ascii="SimSun" w:hAnsi="SimSun" w:eastAsia="SimSun" w:cs="SimSun"/>
          <w:color w:val="000000"/>
          <w:sz w:val="21"/>
          <w:u w:val="single"/>
        </w:rPr>
        <w:t xml:space="preserve">              </w:t>
      </w:r>
      <w:r>
        <w:rPr>
          <w:rFonts w:ascii="SimSun" w:hAnsi="SimSun" w:eastAsia="SimSun" w:cs="SimSun"/>
          <w:color w:val="000000"/>
          <w:sz w:val="21"/>
        </w:rPr>
        <w:t xml:space="preserve">（被授权人的姓名）为我方就</w:t>
      </w:r>
      <w:r>
        <w:rPr>
          <w:rFonts w:ascii="SimSun" w:hAnsi="SimSun" w:eastAsia="SimSun" w:cs="SimSun"/>
          <w:color w:val="000000"/>
          <w:sz w:val="21"/>
          <w:u w:val="single"/>
        </w:rPr>
        <w:t xml:space="preserve">        </w:t>
      </w:r>
      <w:r>
        <w:rPr>
          <w:rFonts w:ascii="SimSun" w:hAnsi="SimSun" w:eastAsia="SimSun" w:cs="SimSun"/>
          <w:color w:val="000000"/>
          <w:sz w:val="21"/>
        </w:rPr>
        <w:t xml:space="preserve">项目采购活动的合法代理人，以本公司名义全权处理一切与该项目采购有关的事务，其后果由我单位承担。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代理人无转委托权，特此委托。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委托期限：自本授权委托书签署之日起至投标有效期届满之日止。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法定代表人：（签字或盖章）_______________________</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供应商单位：</w:t>
      </w:r>
      <w:r>
        <w:rPr>
          <w:rFonts w:ascii="SimSun" w:hAnsi="SimSun" w:eastAsia="SimSun" w:cs="SimSun"/>
          <w:color w:val="000000"/>
          <w:sz w:val="21"/>
          <w:u w:val="single"/>
        </w:rPr>
        <w:t xml:space="preserve">（加盖CA电子公章）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地址：_____________________________________</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     年  月  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附：授权代表有效期内的身份证复印件（正反面）及</w:t>
      </w:r>
      <w:r>
        <w:rPr>
          <w:rFonts w:ascii="SimSun" w:hAnsi="SimSun" w:eastAsia="SimSun" w:cs="SimSun"/>
          <w:color w:val="000000"/>
          <w:sz w:val="21"/>
          <w:u w:val="single"/>
        </w:rPr>
        <w:t xml:space="preserve">近三个月内在供应商单位为其缴纳的任意一个月社保相关证明材料复印件；</w:t>
      </w:r>
      <w:r/>
    </w:p>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w:t>
      </w:r>
      <w:r>
        <w:rPr>
          <w:rFonts w:ascii="SimSun" w:hAnsi="SimSun" w:eastAsia="SimSun" w:cs="SimSun"/>
          <w:b/>
          <w:color w:val="000000"/>
          <w:sz w:val="21"/>
        </w:rPr>
        <w:t xml:space="preserve">若供应商为分公司、分支机构等依法无须设置法定代表人职务的单位（仅当招标文件注明允许上述单位投标时），法定代表人签字处可由单位负责人签署。</w:t>
      </w:r>
      <w:r/>
    </w:p>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w:t>
      </w:r>
      <w:r>
        <w:rPr>
          <w:rFonts w:ascii="SimSun" w:hAnsi="SimSun" w:eastAsia="SimSun" w:cs="SimSun"/>
          <w:b/>
          <w:color w:val="000000"/>
          <w:sz w:val="21"/>
        </w:rPr>
        <w:t xml:space="preserve">若响应文件中签字之处均为法定代表人（单位负责人）本人签署，则可不提供本《授权委托书》，但须提供《法定代表人（单位负责人）身份证明》。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pStyle w:val="652"/>
        <w:ind w:left="0" w:right="0" w:firstLine="0"/>
        <w:jc w:val="center"/>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3.供应商资格声明书 </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w:t>
      </w:r>
      <w:r>
        <w:rPr>
          <w:rFonts w:ascii="SimSun" w:hAnsi="SimSun" w:eastAsia="SimSun" w:cs="SimSun"/>
          <w:color w:val="000000"/>
          <w:sz w:val="21"/>
          <w:u w:val="single"/>
        </w:rPr>
        <w:t xml:space="preserve">采购人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在参与本次项目响应过程中，我单位承诺：</w:t>
      </w:r>
      <w:r/>
    </w:p>
    <w:p>
      <w:pPr>
        <w:numPr>
          <w:ilvl w:val="0"/>
          <w:numId w:val="8"/>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具有良好的商业信誉和健全的财务会计制度；</w:t>
      </w:r>
      <w:r/>
    </w:p>
    <w:p>
      <w:pPr>
        <w:numPr>
          <w:ilvl w:val="0"/>
          <w:numId w:val="8"/>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具有履行合同所必需的设备和专业技术能力；</w:t>
      </w:r>
      <w:r/>
    </w:p>
    <w:p>
      <w:pPr>
        <w:numPr>
          <w:ilvl w:val="0"/>
          <w:numId w:val="8"/>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具有依法缴纳税收和社会保障资金的良好记录；</w:t>
      </w:r>
      <w:r/>
    </w:p>
    <w:p>
      <w:pPr>
        <w:numPr>
          <w:ilvl w:val="0"/>
          <w:numId w:val="8"/>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参加政府采购活动前三年内，在经营活动中没有重大违法记录（重大违法记录是指因违法经营受到刑事处罚或者责令停产停业、吊销许可证或者执照、较大数额罚款等行政处罚，不包括因违法经营被禁止在一定期限内参加政府采购活动，但期限已经届满的情形）；</w:t>
      </w:r>
      <w:r/>
    </w:p>
    <w:p>
      <w:pPr>
        <w:numPr>
          <w:ilvl w:val="0"/>
          <w:numId w:val="8"/>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我单位不存在为采购项目提供整体设计、规范编制或者项目管理、监理、检测等服务后，再参加该采购项目的其他采购活动的情形（单一来源采购项目除外）；</w:t>
      </w:r>
      <w:r/>
    </w:p>
    <w:p>
      <w:pPr>
        <w:numPr>
          <w:ilvl w:val="0"/>
          <w:numId w:val="8"/>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与我单位存在“单位负责人为同一人或者存在直接控股、管理关系”的其他法人单位信息如下（如有，不论其是否参加同一合同项下的政府采购活动均须填写）：</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50"/>
        <w:gridCol w:w="4574"/>
        <w:gridCol w:w="2976"/>
      </w:tblGrid>
      <w:tr>
        <w:trPr>
          <w:trHeight w:val="43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57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相互关系</w:t>
            </w:r>
            <w:r/>
          </w:p>
        </w:tc>
      </w:tr>
      <w:tr>
        <w:trPr>
          <w:trHeight w:val="4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7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w:t>
            </w:r>
            <w:r/>
          </w:p>
        </w:tc>
      </w:tr>
      <w:tr>
        <w:trPr>
          <w:trHeight w:val="4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7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w:t>
            </w:r>
            <w:r/>
          </w:p>
        </w:tc>
      </w:tr>
      <w:tr>
        <w:trPr>
          <w:trHeight w:val="4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7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上述声明真实有效，否则我方负全部责任。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供应商单位：</w:t>
      </w:r>
      <w:r>
        <w:rPr>
          <w:rFonts w:ascii="SimSun" w:hAnsi="SimSun" w:eastAsia="SimSun" w:cs="SimSun"/>
          <w:color w:val="000000"/>
          <w:sz w:val="21"/>
          <w:u w:val="single"/>
        </w:rPr>
        <w:t xml:space="preserve">（加盖CA电子公章）   </w:t>
      </w:r>
      <w:r/>
    </w:p>
    <w:p>
      <w:pPr>
        <w:ind w:left="0" w:right="0" w:firstLine="0"/>
        <w:jc w:val="right"/>
        <w:spacing w:before="25" w:after="25"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u w:val="single"/>
        </w:rPr>
        <w:t xml:space="preserve">            </w:t>
      </w:r>
      <w:r>
        <w:rPr>
          <w:rFonts w:ascii="Calibri" w:hAnsi="Calibri" w:eastAsia="Calibri" w:cs="Calibri"/>
          <w:color w:val="000000"/>
          <w:sz w:val="21"/>
        </w:rPr>
        <w:t xml:space="preserve"> </w:t>
      </w:r>
      <w:r/>
    </w:p>
    <w:p>
      <w:pPr>
        <w:ind w:left="0" w:right="36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rPr>
          <w:rFonts w:ascii="Calibri" w:hAnsi="Calibri" w:eastAsia="Calibri" w:cs="Calibri"/>
          <w:color w:val="000000"/>
          <w:sz w:val="21"/>
          <w:u w:val="single"/>
        </w:rPr>
        <w:t xml:space="preserve">     </w:t>
      </w:r>
      <w:r>
        <w:rPr>
          <w:rFonts w:ascii="SimSun" w:hAnsi="SimSun" w:eastAsia="SimSun" w:cs="SimSun"/>
          <w:color w:val="000000"/>
          <w:sz w:val="21"/>
        </w:rPr>
        <w:t xml:space="preserve">年</w:t>
      </w:r>
      <w:r>
        <w:rPr>
          <w:rFonts w:ascii="Calibri" w:hAnsi="Calibri" w:eastAsia="Calibri" w:cs="Calibri"/>
          <w:color w:val="000000"/>
          <w:sz w:val="21"/>
          <w:u w:val="single"/>
        </w:rPr>
        <w:t xml:space="preserve">    </w:t>
      </w:r>
      <w:r>
        <w:rPr>
          <w:rFonts w:ascii="SimSun" w:hAnsi="SimSun" w:eastAsia="SimSun" w:cs="SimSun"/>
          <w:color w:val="000000"/>
          <w:sz w:val="21"/>
        </w:rPr>
        <w:t xml:space="preserve">月</w:t>
      </w:r>
      <w:r>
        <w:rPr>
          <w:rFonts w:ascii="Calibri" w:hAnsi="Calibri" w:eastAsia="Calibri" w:cs="Calibri"/>
          <w:color w:val="000000"/>
          <w:sz w:val="21"/>
          <w:u w:val="single"/>
        </w:rPr>
        <w:t xml:space="preserve">    </w:t>
      </w:r>
      <w:r>
        <w:rPr>
          <w:rFonts w:ascii="SimSun" w:hAnsi="SimSun" w:eastAsia="SimSun" w:cs="SimSun"/>
          <w:color w:val="000000"/>
          <w:sz w:val="21"/>
        </w:rPr>
        <w:t xml:space="preserve">日</w:t>
      </w:r>
      <w:r/>
    </w:p>
    <w:p>
      <w:pPr>
        <w:ind w:left="0" w:right="0" w:firstLine="0"/>
        <w:jc w:val="right"/>
        <w:spacing w:before="25" w:after="25"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说明：供应商承诺不实的，依据《中华人民共和国政府采购法》第七十七条“提供虚假材料谋取中标、成交的”有关规定予以处理。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 诚信承诺书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（采购人名称）</w:t>
      </w:r>
      <w:r>
        <w:rPr>
          <w:rFonts w:ascii="SimSun" w:hAnsi="SimSun" w:eastAsia="SimSun" w:cs="SimSun"/>
          <w:color w:val="000000"/>
          <w:sz w:val="21"/>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我单位在参加贵单位组织的</w:t>
      </w:r>
      <w:r>
        <w:rPr>
          <w:rFonts w:ascii="SimSun" w:hAnsi="SimSun" w:eastAsia="SimSun" w:cs="SimSun"/>
          <w:color w:val="000000"/>
          <w:sz w:val="21"/>
          <w:u w:val="single"/>
        </w:rPr>
        <w:t xml:space="preserve">                         项目</w:t>
      </w:r>
      <w:r>
        <w:rPr>
          <w:rFonts w:ascii="SimSun" w:hAnsi="SimSun" w:eastAsia="SimSun" w:cs="SimSun"/>
          <w:color w:val="000000"/>
          <w:sz w:val="21"/>
        </w:rPr>
        <w:t xml:space="preserve">的磋商活动中，郑重承诺如下：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1.我单位参与本项目投标，提交的磋商响应文件包括资格审查材料均真实可信。证件及有关附件是真实的，绝无提供虚假材料行为。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2.我单位参与本项目投标绝无借资质、挂靠行为。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3.本项目授权代表为本单位正式员工。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4.我单位遵守国家廉政相关规定，无失信、行贿等不良行为。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5.我单位参与本项目投标绝无串标、围标等行为。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6.我单位在参加政府采购活动前三年内，在经营活动中没有重大违法记录。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7.如中标，我单位在成交结果公示结束后3天内领取中标通知书。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8.中标后，我单位将按照磋商文件规定并在成交通知书规定的时限内与采购单位签订合同。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9.如中标，我单位将按照磋商文件规定以及响应文件中承诺的相关事项向采购人提供完整相关证明材料或配合采购人做好相关工作。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若我单位未能兑现以上承诺，愿意放弃本项目中标资格，愿意被采购人列入政府采购黑名单1～3年，愿意接受采购人和监管部门的其他处罚，并愿意承担因违反上述承诺内容所引发的一切责任与后果。</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供应商单位：</w:t>
      </w:r>
      <w:r>
        <w:rPr>
          <w:rFonts w:ascii="SimSun" w:hAnsi="SimSun" w:eastAsia="SimSun" w:cs="SimSun"/>
          <w:color w:val="000000"/>
          <w:sz w:val="21"/>
          <w:u w:val="single"/>
        </w:rPr>
        <w:t xml:space="preserve">（加盖CA电子公章）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36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法定代表人（签字或盖章）：</w:t>
      </w:r>
      <w:r>
        <w:rPr>
          <w:rFonts w:ascii="SimSun" w:hAnsi="SimSun" w:eastAsia="SimSun" w:cs="SimSun"/>
          <w:color w:val="000000"/>
          <w:sz w:val="21"/>
          <w:u w:val="single"/>
        </w:rPr>
        <w:t xml:space="preserve">                      </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2833" w:right="560" w:firstLine="277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     月     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5.中小企业声明函（服务）</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本公司郑重声明，根据《政府采购促进中小企业发展管理办法》（财库﹝2020﹞46 号）的规定，本公司参加</w:t>
      </w:r>
      <w:r>
        <w:rPr>
          <w:rFonts w:ascii="SimSun" w:hAnsi="SimSun" w:eastAsia="SimSun" w:cs="SimSun"/>
          <w:color w:val="000000"/>
          <w:sz w:val="21"/>
          <w:u w:val="single"/>
        </w:rPr>
        <w:t xml:space="preserve">（单位名称）</w:t>
      </w:r>
      <w:r>
        <w:rPr>
          <w:rFonts w:ascii="SimSun" w:hAnsi="SimSun" w:eastAsia="SimSun" w:cs="SimSun"/>
          <w:color w:val="000000"/>
          <w:sz w:val="21"/>
        </w:rPr>
        <w:t xml:space="preserve">的</w:t>
      </w:r>
      <w:r>
        <w:rPr>
          <w:rFonts w:ascii="SimSun" w:hAnsi="SimSun" w:eastAsia="SimSun" w:cs="SimSun"/>
          <w:color w:val="000000"/>
          <w:sz w:val="21"/>
          <w:u w:val="single"/>
        </w:rPr>
        <w:t xml:space="preserve">（项目名称）</w:t>
      </w:r>
      <w:r>
        <w:rPr>
          <w:rFonts w:ascii="SimSun" w:hAnsi="SimSun" w:eastAsia="SimSun" w:cs="SimSun"/>
          <w:color w:val="000000"/>
          <w:sz w:val="21"/>
        </w:rPr>
        <w:t xml:space="preserve">采购活动，工程的施工单位全部为符合政策要求的中小企业（或者：服务全部由符合政策要求的中小企业承接）。企业的具体情况如下：</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1"/>
          <w:u w:val="single"/>
        </w:rPr>
        <w:t xml:space="preserve">（标的名称）</w:t>
      </w:r>
      <w:r>
        <w:rPr>
          <w:rFonts w:ascii="SimSun" w:hAnsi="SimSun" w:eastAsia="SimSun" w:cs="SimSun"/>
          <w:color w:val="000000"/>
          <w:sz w:val="21"/>
        </w:rPr>
        <w:t xml:space="preserve">，属于（</w:t>
      </w:r>
      <w:r>
        <w:rPr>
          <w:rFonts w:ascii="SimSun" w:hAnsi="SimSun" w:eastAsia="SimSun" w:cs="SimSun"/>
          <w:color w:val="000000"/>
          <w:sz w:val="21"/>
          <w:u w:val="single"/>
        </w:rPr>
        <w:t xml:space="preserve">磋商文件中明确的所属行业）</w:t>
      </w:r>
      <w:r>
        <w:rPr>
          <w:rFonts w:ascii="SimSun" w:hAnsi="SimSun" w:eastAsia="SimSun" w:cs="SimSun"/>
          <w:color w:val="000000"/>
          <w:sz w:val="21"/>
        </w:rPr>
        <w:t xml:space="preserve">；承建（承接）企业为</w:t>
      </w:r>
      <w:r>
        <w:rPr>
          <w:rFonts w:ascii="SimSun" w:hAnsi="SimSun" w:eastAsia="SimSun" w:cs="SimSun"/>
          <w:color w:val="000000"/>
          <w:sz w:val="21"/>
          <w:u w:val="single"/>
        </w:rPr>
        <w:t xml:space="preserve">（企业名称）</w:t>
      </w:r>
      <w:r>
        <w:rPr>
          <w:rFonts w:ascii="SimSun" w:hAnsi="SimSun" w:eastAsia="SimSun" w:cs="SimSun"/>
          <w:color w:val="000000"/>
          <w:sz w:val="21"/>
        </w:rPr>
        <w:t xml:space="preserve">，从业人员为</w:t>
      </w:r>
      <w:r>
        <w:rPr>
          <w:rFonts w:ascii="SimSun" w:hAnsi="SimSun" w:eastAsia="SimSun" w:cs="SimSun"/>
          <w:color w:val="000000"/>
          <w:sz w:val="21"/>
          <w:u w:val="single"/>
        </w:rPr>
        <w:t xml:space="preserve"> </w:t>
        <w:tab/>
        <w:t xml:space="preserve">   </w:t>
      </w:r>
      <w:r>
        <w:rPr>
          <w:rFonts w:ascii="SimSun" w:hAnsi="SimSun" w:eastAsia="SimSun" w:cs="SimSun"/>
          <w:color w:val="000000"/>
          <w:sz w:val="21"/>
        </w:rPr>
        <w:t xml:space="preserve">人，营业收入为</w:t>
      </w:r>
      <w:r>
        <w:rPr>
          <w:rFonts w:ascii="SimSun" w:hAnsi="SimSun" w:eastAsia="SimSun" w:cs="SimSun"/>
          <w:color w:val="000000"/>
          <w:sz w:val="21"/>
          <w:u w:val="single"/>
        </w:rPr>
        <w:t xml:space="preserve"> </w:t>
        <w:tab/>
        <w:t xml:space="preserve">  </w:t>
      </w:r>
      <w:r>
        <w:rPr>
          <w:rFonts w:ascii="SimSun" w:hAnsi="SimSun" w:eastAsia="SimSun" w:cs="SimSun"/>
          <w:color w:val="000000"/>
          <w:sz w:val="21"/>
        </w:rPr>
        <w:t xml:space="preserve">万元，资产总额为</w:t>
      </w:r>
      <w:r>
        <w:rPr>
          <w:rFonts w:ascii="SimSun" w:hAnsi="SimSun" w:eastAsia="SimSun" w:cs="SimSun"/>
          <w:color w:val="000000"/>
          <w:sz w:val="21"/>
          <w:u w:val="single"/>
        </w:rPr>
        <w:t xml:space="preserve"> </w:t>
        <w:tab/>
        <w:t xml:space="preserve">  </w:t>
      </w:r>
      <w:r>
        <w:rPr>
          <w:rFonts w:ascii="SimSun" w:hAnsi="SimSun" w:eastAsia="SimSun" w:cs="SimSun"/>
          <w:color w:val="000000"/>
          <w:sz w:val="21"/>
        </w:rPr>
        <w:t xml:space="preserve">万元，属于</w:t>
      </w:r>
      <w:r>
        <w:rPr>
          <w:rFonts w:ascii="SimSun" w:hAnsi="SimSun" w:eastAsia="SimSun" w:cs="SimSun"/>
          <w:color w:val="000000"/>
          <w:sz w:val="21"/>
          <w:u w:val="single"/>
        </w:rPr>
        <w:t xml:space="preserve">（中型企业、小型企业、微型企业）</w:t>
      </w:r>
      <w:r>
        <w:rPr>
          <w:rFonts w:ascii="SimSun" w:hAnsi="SimSun" w:eastAsia="SimSun" w:cs="SimSun"/>
          <w:color w:val="000000"/>
          <w:sz w:val="21"/>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以上企业，不属于大企业的分支机构，不存在控股股东为大企业的情形，也不存在与大企业的负责人为同一人的情形。</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本企业对上述声明内容的真实性负责。如有虚假，将依法承担相应责任。</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企业名称（盖章）：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57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7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9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（1）中小企业划分标准以工信部联企业〔2011〕300号通知中的《中小企业划型标准规定》为准。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（2）本项目所属行业：</w:t>
      </w:r>
      <w:r>
        <w:rPr>
          <w:rFonts w:ascii="SimSun" w:hAnsi="SimSun" w:eastAsia="SimSun" w:cs="SimSun"/>
          <w:b/>
          <w:color w:val="000000"/>
          <w:sz w:val="21"/>
          <w:u w:val="single"/>
        </w:rPr>
        <w:t xml:space="preserve">租赁和商务服务业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（3）从业人员、营业收入、资产总额填报上一年度数据，无上一年度数据的新成立企业可不填报。</w:t>
      </w:r>
      <w:r/>
    </w:p>
    <w:p>
      <w:pPr>
        <w:ind w:left="0" w:right="561"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6.残疾人福利性单位声明函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郑重声明，根据《财政部民政部中国残疾人联合会关于促进残疾人就业政府采购政策的通知》（财库〔2017〕141号）的规定，本单位为符合条件的残疾人福利性单位，且本单位参加______单位的采购文件编号为______的</w:t>
      </w:r>
      <w:r>
        <w:rPr>
          <w:rFonts w:ascii="SimSun" w:hAnsi="SimSun" w:eastAsia="SimSun" w:cs="SimSun"/>
          <w:color w:val="000000"/>
          <w:sz w:val="21"/>
          <w:u w:val="single"/>
        </w:rPr>
        <w:t xml:space="preserve">       </w:t>
      </w:r>
      <w:r>
        <w:rPr>
          <w:rFonts w:ascii="SimSun" w:hAnsi="SimSun" w:eastAsia="SimSun" w:cs="SimSun"/>
          <w:color w:val="000000"/>
          <w:sz w:val="21"/>
        </w:rPr>
        <w:t xml:space="preserve">项目采购活动提供本单位制造的货物（由本单位承担工程/提供服务），或者提供其他残疾人福利性单位制造的货物（不包括使用非残疾人福利性单位注册商标的货物）。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本单位在本次政府采购活动中提供的残疾人福利单位产品报价合计为人民币（大写）</w:t>
      </w:r>
      <w:r>
        <w:rPr>
          <w:rFonts w:ascii="SimSun" w:hAnsi="SimSun" w:eastAsia="SimSun" w:cs="SimSun"/>
          <w:color w:val="000000"/>
          <w:sz w:val="21"/>
          <w:u w:val="single"/>
        </w:rPr>
        <w:t xml:space="preserve">      </w:t>
      </w:r>
      <w:r>
        <w:rPr>
          <w:rFonts w:ascii="SimSun" w:hAnsi="SimSun" w:eastAsia="SimSun" w:cs="SimSun"/>
          <w:color w:val="000000"/>
          <w:sz w:val="21"/>
        </w:rPr>
        <w:t xml:space="preserve">圆整（￥：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本单位对上述声明的真实性负责。如有虚假，将依法承担相应责任。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（备注：成交供应商为残疾人福利单位的，此声明函将随成交结果同时公告，接受社会监督）</w:t>
      </w:r>
      <w:r/>
    </w:p>
    <w:p>
      <w:pPr>
        <w:ind w:left="0" w:right="0" w:firstLine="624"/>
        <w:jc w:val="center"/>
        <w:spacing w:before="0" w:after="0" w:line="85"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      </w:t>
      </w:r>
      <w:r>
        <w:rPr>
          <w:rFonts w:ascii="SimSun" w:hAnsi="SimSun" w:eastAsia="SimSun" w:cs="SimSun"/>
          <w:color w:val="000000"/>
          <w:sz w:val="21"/>
        </w:rPr>
        <w:t xml:space="preserve">                     供应商全称（盖章）：</w:t>
      </w:r>
      <w:r/>
    </w:p>
    <w:p>
      <w:pPr>
        <w:ind w:left="0" w:right="0" w:firstLine="480"/>
        <w:jc w:val="center"/>
        <w:spacing w:before="0" w:after="0" w:line="85"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日  期：</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享受政府采购支持政策的残疾人福利性单位应当同时满足以下条件：</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（一）安置的残疾人占本单位在职职工人数的比例不低于25%（含25%），并且安置的残疾人人数不少于10人（含10人）；</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（二）依法与安置的每位残疾人签订了一年以上（含一年）的劳动合同或服务协议；</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（三）为安置的每位残疾人按月足额缴纳了基本养老保险、基本医疗保险、失业保险、工伤保险和生育保险等社会保险费；</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（四）通过银行等金融机构向安置的每位残疾人，按月支付了不低于单位所在区县适用的经省级人民政府批准的月最低工资标准的工资；</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（五）提供本单位制造的货物、承担的工程或者服务（以下简称产品），或者提供其他残疾人福利性单位制造的货物（不包括使用非残疾人福利性单位注册商标的货物）。</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211"/>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7.监狱企业证明函</w:t>
      </w:r>
      <w:r/>
    </w:p>
    <w:p>
      <w:pPr>
        <w:ind w:left="0" w:right="0" w:firstLine="64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根据《财政部 司法部关于政府采购支持监狱企业发展有关问题的通知》（财库〔2014〕68号）的规定，</w:t>
      </w:r>
      <w:r>
        <w:rPr>
          <w:rFonts w:ascii="SimSun" w:hAnsi="SimSun" w:eastAsia="SimSun" w:cs="SimSun"/>
          <w:color w:val="000000"/>
          <w:sz w:val="21"/>
          <w:u w:val="single"/>
        </w:rPr>
        <w:t xml:space="preserve">          （填写供应商法定全称）</w:t>
      </w:r>
      <w:r>
        <w:rPr>
          <w:rFonts w:ascii="SimSun" w:hAnsi="SimSun" w:eastAsia="SimSun" w:cs="SimSun"/>
          <w:color w:val="000000"/>
          <w:sz w:val="21"/>
        </w:rPr>
        <w:t xml:space="preserve">为监狱企业。</w:t>
      </w:r>
      <w:r/>
    </w:p>
    <w:p>
      <w:pPr>
        <w:ind w:left="0" w:right="0" w:firstLine="64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特此声明。</w:t>
      </w:r>
      <w:r/>
    </w:p>
    <w:p>
      <w:pPr>
        <w:ind w:left="0" w:right="0" w:firstLine="1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1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省级以上监狱管理局、戒毒管理局（含新疆生产建设兵团）（盖章）：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日  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652"/>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8.磋商响应函</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w:t>
      </w:r>
      <w:r>
        <w:rPr>
          <w:rFonts w:ascii="SimSun" w:hAnsi="SimSun" w:eastAsia="SimSun" w:cs="SimSun"/>
          <w:b/>
          <w:color w:val="000000"/>
          <w:sz w:val="21"/>
          <w:u w:val="single"/>
        </w:rPr>
        <w:t xml:space="preserve">      （采购人名称）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根据贵方的</w:t>
      </w:r>
      <w:r>
        <w:rPr>
          <w:rFonts w:ascii="SimSun" w:hAnsi="SimSun" w:eastAsia="SimSun" w:cs="SimSun"/>
          <w:color w:val="000000"/>
          <w:sz w:val="21"/>
          <w:u w:val="single"/>
        </w:rPr>
        <w:t xml:space="preserve">         </w:t>
      </w:r>
      <w:r>
        <w:rPr>
          <w:rFonts w:ascii="SimSun" w:hAnsi="SimSun" w:eastAsia="SimSun" w:cs="SimSun"/>
          <w:color w:val="000000"/>
          <w:sz w:val="21"/>
        </w:rPr>
        <w:t xml:space="preserve">号磋商文件，正式授权下述签字人______（姓名和职务）代表我方（供应商的名称），全权处理</w:t>
      </w:r>
      <w:r>
        <w:rPr>
          <w:rFonts w:ascii="SimSun" w:hAnsi="SimSun" w:eastAsia="SimSun" w:cs="SimSun"/>
          <w:color w:val="000000"/>
          <w:sz w:val="21"/>
          <w:u w:val="single"/>
        </w:rPr>
        <w:t xml:space="preserve">              </w:t>
      </w:r>
      <w:r>
        <w:rPr>
          <w:rFonts w:ascii="SimSun" w:hAnsi="SimSun" w:eastAsia="SimSun" w:cs="SimSun"/>
          <w:color w:val="000000"/>
          <w:sz w:val="21"/>
        </w:rPr>
        <w:t xml:space="preserve">磋商采购的有关事宜。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据此函，__________（签字人）兹宣布同意如下：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1.按照磋商文件规定的各项要求，向采购人提供所需服务。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2.我们已详细审核全部磋商文件及其有效补充文件，我们知道必须放弃提出含糊不清或误解问题的权利。</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3.我们同意从规定的响应文件接收截止时间起遵循本响应文件，并在规定的磋商有效期届满之前均具有约束力。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4.如果在响应文件接收截止时间后规定的磋商有效期内撤回响应文件或成交后拒绝签订合同，我们自愿接受政府采购监管机构的处理。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5.同意向贵方提供贵方可能另外要求的与磋商采购有关的任何证据或资料，并保证我方已提供和将要提供的文件是真实的、准确的。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6.一旦我方成交，我方将根据磋商文件的规定，严格履行合同的责任和义务，并保证在磋商文件规定的时间完成项目，交付采购人验收、使用。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7.遵守磋商文件中要求的收费项目和标准。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8.与本磋商采购有关的正式通讯地址为：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                         邮 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                         传 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供应商开户行：                  账 户：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法定代表人或授权代表姓名（签字）：     联系电话：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供应商单位：</w:t>
      </w:r>
      <w:r>
        <w:rPr>
          <w:rFonts w:ascii="SimSun" w:hAnsi="SimSun" w:eastAsia="SimSun" w:cs="SimSun"/>
          <w:color w:val="000000"/>
          <w:sz w:val="21"/>
          <w:u w:val="single"/>
        </w:rPr>
        <w:t xml:space="preserve">（加盖CA电子公章）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期：________年____月____日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9.服务响应及偏离表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59"/>
        <w:gridCol w:w="1308"/>
        <w:gridCol w:w="2409"/>
        <w:gridCol w:w="1418"/>
        <w:gridCol w:w="1385"/>
        <w:gridCol w:w="1276"/>
      </w:tblGrid>
      <w:tr>
        <w:trPr>
          <w:trHeight w:val="51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 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磋商文件中的要求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1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是否响应</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8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偏离说明</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tcPr>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rHeight w:val="5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0" w:after="0" w:line="85" w:lineRule="atLeast"/>
              <w:tabs>
                <w:tab w:val="left" w:pos="63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tcPr>
          <w:p>
            <w:pPr>
              <w:ind w:left="0" w:right="0" w:firstLine="0"/>
              <w:jc w:val="center"/>
              <w:spacing w:before="0" w:after="0" w:line="85" w:lineRule="atLeast"/>
              <w:tabs>
                <w:tab w:val="left" w:pos="63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tcPr>
          <w:p>
            <w:pPr>
              <w:ind w:left="0" w:right="0" w:firstLine="0"/>
              <w:jc w:val="center"/>
              <w:spacing w:before="0" w:after="0" w:line="85" w:lineRule="atLeast"/>
              <w:tabs>
                <w:tab w:val="left" w:pos="63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8" w:type="dxa"/>
            <w:vAlign w:val="center"/>
            <w:textDirection w:val="lrTb"/>
            <w:noWrap/>
          </w:tcPr>
          <w:p>
            <w:pPr>
              <w:ind w:left="0" w:right="0" w:firstLine="0"/>
              <w:jc w:val="center"/>
              <w:spacing w:before="0" w:after="0" w:line="85" w:lineRule="atLeast"/>
              <w:tabs>
                <w:tab w:val="left" w:pos="63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5" w:type="dxa"/>
            <w:vAlign w:val="center"/>
            <w:textDirection w:val="lrTb"/>
            <w:noWrap/>
          </w:tcPr>
          <w:p>
            <w:pPr>
              <w:ind w:left="0" w:right="0" w:firstLine="0"/>
              <w:jc w:val="center"/>
              <w:spacing w:before="0" w:after="0" w:line="85" w:lineRule="atLeast"/>
              <w:tabs>
                <w:tab w:val="left" w:pos="63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top"/>
            <w:textDirection w:val="lrTb"/>
            <w:noWrap/>
          </w:tcPr>
          <w:p>
            <w:pPr>
              <w:ind w:left="0" w:right="0" w:firstLine="0"/>
              <w:jc w:val="center"/>
              <w:spacing w:before="0" w:after="0" w:line="85" w:lineRule="atLeast"/>
              <w:tabs>
                <w:tab w:val="left" w:pos="63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0" w:after="0" w:line="85" w:lineRule="atLeast"/>
              <w:tabs>
                <w:tab w:val="left" w:pos="63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tcPr>
          <w:p>
            <w:pPr>
              <w:ind w:left="0" w:right="0" w:firstLine="0"/>
              <w:jc w:val="center"/>
              <w:spacing w:before="0" w:after="0" w:line="85" w:lineRule="atLeast"/>
              <w:tabs>
                <w:tab w:val="left" w:pos="63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tcPr>
          <w:p>
            <w:pPr>
              <w:ind w:left="0" w:right="0" w:firstLine="0"/>
              <w:jc w:val="center"/>
              <w:spacing w:before="0" w:after="0" w:line="85" w:lineRule="atLeast"/>
              <w:tabs>
                <w:tab w:val="left" w:pos="63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8" w:type="dxa"/>
            <w:vAlign w:val="center"/>
            <w:textDirection w:val="lrTb"/>
            <w:noWrap/>
          </w:tcPr>
          <w:p>
            <w:pPr>
              <w:ind w:left="0" w:right="0" w:firstLine="0"/>
              <w:jc w:val="center"/>
              <w:spacing w:before="0" w:after="0" w:line="85" w:lineRule="atLeast"/>
              <w:tabs>
                <w:tab w:val="left" w:pos="63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5" w:type="dxa"/>
            <w:vAlign w:val="center"/>
            <w:textDirection w:val="lrTb"/>
            <w:noWrap/>
          </w:tcPr>
          <w:p>
            <w:pPr>
              <w:ind w:left="0" w:right="0" w:firstLine="0"/>
              <w:jc w:val="center"/>
              <w:spacing w:before="0" w:after="0" w:line="85" w:lineRule="atLeast"/>
              <w:tabs>
                <w:tab w:val="left" w:pos="63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top"/>
            <w:textDirection w:val="lrTb"/>
            <w:noWrap/>
          </w:tcPr>
          <w:p>
            <w:pPr>
              <w:ind w:left="0" w:right="0" w:firstLine="0"/>
              <w:jc w:val="center"/>
              <w:spacing w:before="0" w:after="0" w:line="85" w:lineRule="atLeast"/>
              <w:tabs>
                <w:tab w:val="left" w:pos="63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0" w:after="0" w:line="85" w:lineRule="atLeast"/>
              <w:tabs>
                <w:tab w:val="left" w:pos="63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tcPr>
          <w:p>
            <w:pPr>
              <w:ind w:left="0" w:right="0" w:firstLine="0"/>
              <w:jc w:val="center"/>
              <w:spacing w:before="0" w:after="0" w:line="85" w:lineRule="atLeast"/>
              <w:tabs>
                <w:tab w:val="left" w:pos="63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tcPr>
          <w:p>
            <w:pPr>
              <w:ind w:left="0" w:right="0" w:firstLine="0"/>
              <w:jc w:val="center"/>
              <w:spacing w:before="0" w:after="0" w:line="85" w:lineRule="atLeast"/>
              <w:tabs>
                <w:tab w:val="left" w:pos="63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8" w:type="dxa"/>
            <w:vAlign w:val="center"/>
            <w:textDirection w:val="lrTb"/>
            <w:noWrap/>
          </w:tcPr>
          <w:p>
            <w:pPr>
              <w:ind w:left="0" w:right="0" w:firstLine="0"/>
              <w:jc w:val="center"/>
              <w:spacing w:before="0" w:after="0" w:line="85" w:lineRule="atLeast"/>
              <w:tabs>
                <w:tab w:val="left" w:pos="63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5" w:type="dxa"/>
            <w:vAlign w:val="center"/>
            <w:textDirection w:val="lrTb"/>
            <w:noWrap/>
          </w:tcPr>
          <w:p>
            <w:pPr>
              <w:ind w:left="0" w:right="0" w:firstLine="0"/>
              <w:jc w:val="center"/>
              <w:spacing w:before="0" w:after="0" w:line="85" w:lineRule="atLeast"/>
              <w:tabs>
                <w:tab w:val="left" w:pos="63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top"/>
            <w:textDirection w:val="lrTb"/>
            <w:noWrap/>
          </w:tcPr>
          <w:p>
            <w:pPr>
              <w:ind w:left="0" w:right="0" w:firstLine="0"/>
              <w:jc w:val="center"/>
              <w:spacing w:before="0" w:after="0" w:line="85" w:lineRule="atLeast"/>
              <w:tabs>
                <w:tab w:val="left" w:pos="63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0" w:after="0" w:line="85" w:lineRule="atLeast"/>
              <w:tabs>
                <w:tab w:val="left" w:pos="63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tcPr>
          <w:p>
            <w:pPr>
              <w:ind w:left="0" w:right="0" w:firstLine="0"/>
              <w:jc w:val="center"/>
              <w:spacing w:before="0" w:after="0" w:line="85" w:lineRule="atLeast"/>
              <w:tabs>
                <w:tab w:val="left" w:pos="63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tcPr>
          <w:p>
            <w:pPr>
              <w:ind w:left="0" w:right="0" w:firstLine="0"/>
              <w:jc w:val="center"/>
              <w:spacing w:before="0" w:after="0" w:line="85" w:lineRule="atLeast"/>
              <w:tabs>
                <w:tab w:val="left" w:pos="63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8" w:type="dxa"/>
            <w:vAlign w:val="center"/>
            <w:textDirection w:val="lrTb"/>
            <w:noWrap/>
          </w:tcPr>
          <w:p>
            <w:pPr>
              <w:ind w:left="0" w:right="0" w:firstLine="0"/>
              <w:jc w:val="center"/>
              <w:spacing w:before="0" w:after="0" w:line="85" w:lineRule="atLeast"/>
              <w:tabs>
                <w:tab w:val="left" w:pos="63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5" w:type="dxa"/>
            <w:vAlign w:val="center"/>
            <w:textDirection w:val="lrTb"/>
            <w:noWrap/>
          </w:tcPr>
          <w:p>
            <w:pPr>
              <w:ind w:left="0" w:right="0" w:firstLine="0"/>
              <w:jc w:val="center"/>
              <w:spacing w:before="0" w:after="0" w:line="85" w:lineRule="atLeast"/>
              <w:tabs>
                <w:tab w:val="left" w:pos="63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top"/>
            <w:textDirection w:val="lrTb"/>
            <w:noWrap/>
          </w:tcPr>
          <w:p>
            <w:pPr>
              <w:ind w:left="0" w:right="0" w:firstLine="0"/>
              <w:jc w:val="center"/>
              <w:spacing w:before="0" w:after="0" w:line="85" w:lineRule="atLeast"/>
              <w:tabs>
                <w:tab w:val="left" w:pos="63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0" w:after="0" w:line="85" w:lineRule="atLeast"/>
              <w:tabs>
                <w:tab w:val="left" w:pos="63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tcPr>
          <w:p>
            <w:pPr>
              <w:ind w:left="0" w:right="0" w:firstLine="0"/>
              <w:jc w:val="center"/>
              <w:spacing w:before="0" w:after="0" w:line="85" w:lineRule="atLeast"/>
              <w:tabs>
                <w:tab w:val="left" w:pos="63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tcPr>
          <w:p>
            <w:pPr>
              <w:ind w:left="0" w:right="0" w:firstLine="0"/>
              <w:jc w:val="center"/>
              <w:spacing w:before="0" w:after="0" w:line="85" w:lineRule="atLeast"/>
              <w:tabs>
                <w:tab w:val="left" w:pos="63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8" w:type="dxa"/>
            <w:vAlign w:val="center"/>
            <w:textDirection w:val="lrTb"/>
            <w:noWrap/>
          </w:tcPr>
          <w:p>
            <w:pPr>
              <w:ind w:left="0" w:right="0" w:firstLine="0"/>
              <w:jc w:val="center"/>
              <w:spacing w:before="0" w:after="0" w:line="85" w:lineRule="atLeast"/>
              <w:tabs>
                <w:tab w:val="left" w:pos="63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5" w:type="dxa"/>
            <w:vAlign w:val="center"/>
            <w:textDirection w:val="lrTb"/>
            <w:noWrap/>
          </w:tcPr>
          <w:p>
            <w:pPr>
              <w:ind w:left="0" w:right="0" w:firstLine="0"/>
              <w:jc w:val="center"/>
              <w:spacing w:before="0" w:after="0" w:line="85" w:lineRule="atLeast"/>
              <w:tabs>
                <w:tab w:val="left" w:pos="63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top"/>
            <w:textDirection w:val="lrTb"/>
            <w:noWrap/>
          </w:tcPr>
          <w:p>
            <w:pPr>
              <w:ind w:left="0" w:right="0" w:firstLine="0"/>
              <w:jc w:val="center"/>
              <w:spacing w:before="0" w:after="0" w:line="85" w:lineRule="atLeast"/>
              <w:tabs>
                <w:tab w:val="left" w:pos="63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0" w:after="0" w:line="85" w:lineRule="atLeast"/>
              <w:tabs>
                <w:tab w:val="left" w:pos="63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tcPr>
          <w:p>
            <w:pPr>
              <w:ind w:left="0" w:right="0" w:firstLine="0"/>
              <w:jc w:val="center"/>
              <w:spacing w:before="0" w:after="0" w:line="85" w:lineRule="atLeast"/>
              <w:tabs>
                <w:tab w:val="left" w:pos="63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tcPr>
          <w:p>
            <w:pPr>
              <w:ind w:left="0" w:right="0" w:firstLine="0"/>
              <w:jc w:val="center"/>
              <w:spacing w:before="0" w:after="0" w:line="85" w:lineRule="atLeast"/>
              <w:tabs>
                <w:tab w:val="left" w:pos="63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8" w:type="dxa"/>
            <w:vAlign w:val="center"/>
            <w:textDirection w:val="lrTb"/>
            <w:noWrap/>
          </w:tcPr>
          <w:p>
            <w:pPr>
              <w:ind w:left="0" w:right="0" w:firstLine="0"/>
              <w:jc w:val="center"/>
              <w:spacing w:before="0" w:after="0" w:line="85" w:lineRule="atLeast"/>
              <w:tabs>
                <w:tab w:val="left" w:pos="63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5" w:type="dxa"/>
            <w:vAlign w:val="center"/>
            <w:textDirection w:val="lrTb"/>
            <w:noWrap/>
          </w:tcPr>
          <w:p>
            <w:pPr>
              <w:ind w:left="0" w:right="0" w:firstLine="0"/>
              <w:jc w:val="center"/>
              <w:spacing w:before="0" w:after="0" w:line="85" w:lineRule="atLeast"/>
              <w:tabs>
                <w:tab w:val="left" w:pos="63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top"/>
            <w:textDirection w:val="lrTb"/>
            <w:noWrap/>
          </w:tcPr>
          <w:p>
            <w:pPr>
              <w:ind w:left="0" w:right="0" w:firstLine="0"/>
              <w:jc w:val="center"/>
              <w:spacing w:before="0" w:after="0" w:line="85" w:lineRule="atLeast"/>
              <w:tabs>
                <w:tab w:val="left" w:pos="63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center"/>
              <w:spacing w:before="0" w:after="0" w:line="85" w:lineRule="atLeast"/>
              <w:tabs>
                <w:tab w:val="left" w:pos="63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tcPr>
          <w:p>
            <w:pPr>
              <w:ind w:left="0" w:right="0" w:firstLine="0"/>
              <w:jc w:val="center"/>
              <w:spacing w:before="0" w:after="0" w:line="85" w:lineRule="atLeast"/>
              <w:tabs>
                <w:tab w:val="left" w:pos="63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tcPr>
          <w:p>
            <w:pPr>
              <w:ind w:left="0" w:right="0" w:firstLine="0"/>
              <w:jc w:val="center"/>
              <w:spacing w:before="0" w:after="0" w:line="85" w:lineRule="atLeast"/>
              <w:tabs>
                <w:tab w:val="left" w:pos="63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8" w:type="dxa"/>
            <w:vAlign w:val="center"/>
            <w:textDirection w:val="lrTb"/>
            <w:noWrap/>
          </w:tcPr>
          <w:p>
            <w:pPr>
              <w:ind w:left="0" w:right="0" w:firstLine="0"/>
              <w:jc w:val="center"/>
              <w:spacing w:before="0" w:after="0" w:line="85" w:lineRule="atLeast"/>
              <w:tabs>
                <w:tab w:val="left" w:pos="63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5" w:type="dxa"/>
            <w:vAlign w:val="center"/>
            <w:textDirection w:val="lrTb"/>
            <w:noWrap/>
          </w:tcPr>
          <w:p>
            <w:pPr>
              <w:ind w:left="0" w:right="0" w:firstLine="0"/>
              <w:jc w:val="center"/>
              <w:spacing w:before="0" w:after="0" w:line="85" w:lineRule="atLeast"/>
              <w:tabs>
                <w:tab w:val="left" w:pos="63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top"/>
            <w:textDirection w:val="lrTb"/>
            <w:noWrap/>
          </w:tcPr>
          <w:p>
            <w:pPr>
              <w:ind w:left="0" w:right="0" w:firstLine="0"/>
              <w:jc w:val="center"/>
              <w:spacing w:before="0" w:after="0" w:line="85" w:lineRule="atLeast"/>
              <w:tabs>
                <w:tab w:val="left" w:pos="63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 w:type="dxa"/>
            <w:vAlign w:val="center"/>
            <w:textDirection w:val="lrTb"/>
            <w:noWrap/>
          </w:tcPr>
          <w:p>
            <w:pPr>
              <w:ind w:left="0" w:right="0" w:firstLine="0"/>
              <w:jc w:val="both"/>
              <w:spacing w:before="0" w:after="0" w:line="85" w:lineRule="atLeast"/>
              <w:tabs>
                <w:tab w:val="left" w:pos="63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tcPr>
          <w:p>
            <w:pPr>
              <w:ind w:left="0" w:right="0" w:firstLine="0"/>
              <w:jc w:val="center"/>
              <w:spacing w:before="0" w:after="0" w:line="85" w:lineRule="atLeast"/>
              <w:tabs>
                <w:tab w:val="left" w:pos="63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tcPr>
          <w:p>
            <w:pPr>
              <w:ind w:left="0" w:right="0" w:firstLine="0"/>
              <w:jc w:val="center"/>
              <w:spacing w:before="0" w:after="0" w:line="85" w:lineRule="atLeast"/>
              <w:tabs>
                <w:tab w:val="left" w:pos="63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8" w:type="dxa"/>
            <w:vAlign w:val="center"/>
            <w:textDirection w:val="lrTb"/>
            <w:noWrap/>
          </w:tcPr>
          <w:p>
            <w:pPr>
              <w:ind w:left="0" w:right="0" w:firstLine="0"/>
              <w:jc w:val="center"/>
              <w:spacing w:before="0" w:after="0" w:line="85" w:lineRule="atLeast"/>
              <w:tabs>
                <w:tab w:val="left" w:pos="63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5" w:type="dxa"/>
            <w:vAlign w:val="center"/>
            <w:textDirection w:val="lrTb"/>
            <w:noWrap/>
          </w:tcPr>
          <w:p>
            <w:pPr>
              <w:ind w:left="0" w:right="0" w:firstLine="0"/>
              <w:jc w:val="center"/>
              <w:spacing w:before="0" w:after="0" w:line="85" w:lineRule="atLeast"/>
              <w:tabs>
                <w:tab w:val="left" w:pos="63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top"/>
            <w:textDirection w:val="lrTb"/>
            <w:noWrap/>
          </w:tcPr>
          <w:p>
            <w:pPr>
              <w:ind w:left="0" w:right="0" w:firstLine="0"/>
              <w:jc w:val="center"/>
              <w:spacing w:before="0" w:after="0" w:line="85" w:lineRule="atLeast"/>
              <w:tabs>
                <w:tab w:val="left" w:pos="63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注：1、请各位供应商按照上面的表格形式按实际提供的服务，应答第四章项目需求中的各项条款。根据响应情况在“偏离说明”项填写正偏离或负偏离及原因，完全符合的填写“无偏离”。</w:t>
      </w:r>
      <w:r/>
    </w:p>
    <w:p>
      <w:pPr>
        <w:ind w:left="0" w:right="0" w:firstLine="720"/>
        <w:jc w:val="both"/>
        <w:spacing w:before="0" w:after="0" w:line="85" w:lineRule="atLeast"/>
        <w:tabs>
          <w:tab w:val="left" w:pos="63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2、未在上表中说明的，如在响应文件其他内容中已有文字说明的，则以已有文字说明为准，否则，将被认为完全响应磋商文件的规定。</w:t>
      </w:r>
      <w:r/>
    </w:p>
    <w:p>
      <w:pPr>
        <w:ind w:left="0" w:right="0" w:firstLine="720"/>
        <w:jc w:val="both"/>
        <w:spacing w:before="0" w:after="0" w:line="85" w:lineRule="atLeast"/>
        <w:tabs>
          <w:tab w:val="left" w:pos="63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3、该表可扩展，并逐页签字或盖章</w:t>
      </w:r>
      <w:r/>
    </w:p>
    <w:p>
      <w:pPr>
        <w:ind w:left="0" w:right="0" w:firstLine="720"/>
        <w:jc w:val="both"/>
        <w:spacing w:before="0" w:after="0" w:line="85" w:lineRule="atLeast"/>
        <w:tabs>
          <w:tab w:val="left" w:pos="63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4、可附相关技术支撑材料（格式自定）</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供应商单位：</w:t>
      </w:r>
      <w:r>
        <w:rPr>
          <w:rFonts w:ascii="SimSun" w:hAnsi="SimSun" w:eastAsia="SimSun" w:cs="SimSun"/>
          <w:color w:val="000000"/>
          <w:sz w:val="21"/>
          <w:u w:val="single"/>
        </w:rPr>
        <w:t xml:space="preserve">（加盖CA电子公章）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法定代表人或法定代表人授权代表（签字或盖章）：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     年  月  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10.商务条款响应及偏离表</w:t>
      </w:r>
      <w:r/>
    </w:p>
    <w:p>
      <w:pPr>
        <w:ind w:left="10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p>
      <w:pPr>
        <w:ind w:left="0" w:right="0" w:firstLine="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09"/>
        <w:gridCol w:w="1843"/>
        <w:gridCol w:w="2268"/>
        <w:gridCol w:w="1275"/>
        <w:gridCol w:w="1418"/>
        <w:gridCol w:w="992"/>
      </w:tblGrid>
      <w:tr>
        <w:trPr>
          <w:trHeight w:val="64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 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磋商文件中的要求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是否响应</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1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偏离说明</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rHeight w:val="4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供应商资格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4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合同履行期限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4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磋商有效期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4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付款方式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4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履约保证金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投标货币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2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按磋商文件要求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480"/>
        <w:jc w:val="both"/>
        <w:spacing w:before="0" w:after="0" w:line="85" w:lineRule="atLeast"/>
        <w:tabs>
          <w:tab w:val="left" w:pos="63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both"/>
        <w:spacing w:before="0" w:after="0" w:line="85" w:lineRule="atLeast"/>
        <w:tabs>
          <w:tab w:val="left" w:pos="63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1、该表必须按照竞争性磋商要求逐条如实填写，根据响应情况在“偏离说明”项填写正偏离或负偏离及原因，完全符合的填写“无偏离”；</w:t>
      </w:r>
      <w:r/>
    </w:p>
    <w:p>
      <w:pPr>
        <w:ind w:left="0" w:right="0" w:firstLine="480"/>
        <w:jc w:val="both"/>
        <w:spacing w:before="0" w:after="0" w:line="85" w:lineRule="atLeast"/>
        <w:tabs>
          <w:tab w:val="left" w:pos="63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2、该表可扩展，并逐页签字或盖章；</w:t>
      </w:r>
      <w:r/>
    </w:p>
    <w:p>
      <w:pPr>
        <w:ind w:left="0" w:right="0" w:firstLine="480"/>
        <w:jc w:val="both"/>
        <w:spacing w:before="0" w:after="0" w:line="85" w:lineRule="atLeast"/>
        <w:tabs>
          <w:tab w:val="left" w:pos="63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3、可附相关技术支撑材料。（格式自定）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供应商单位：</w:t>
      </w:r>
      <w:r>
        <w:rPr>
          <w:rFonts w:ascii="SimSun" w:hAnsi="SimSun" w:eastAsia="SimSun" w:cs="SimSun"/>
          <w:color w:val="000000"/>
          <w:sz w:val="21"/>
          <w:u w:val="single"/>
        </w:rPr>
        <w:t xml:space="preserve">（加盖CA电子公章）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法定代表人或法定代表人授权代表（签字或盖章）：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     年  月  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11.项目组成人员表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85"/>
        <w:gridCol w:w="1133"/>
        <w:gridCol w:w="932"/>
        <w:gridCol w:w="1275"/>
        <w:gridCol w:w="1275"/>
        <w:gridCol w:w="1700"/>
        <w:gridCol w:w="1553"/>
        <w:gridCol w:w="9354"/>
      </w:tblGrid>
      <w:tr>
        <w:trPr>
          <w:trHeight w:val="480"/>
        </w:trPr>
        <w:tc>
          <w:tcPr>
            <w:tcBorders>
              <w:top w:val="single" w:color="000000" w:sz="8" w:space="0"/>
              <w:left w:val="single" w:color="000000" w:sz="8" w:space="0"/>
              <w:bottom w:val="none" w:color="000000" w:sz="4" w:space="0"/>
              <w:right w:val="single" w:color="000000" w:sz="8" w:space="0"/>
            </w:tcBorders>
            <w:tcMar>
              <w:left w:w="108" w:type="dxa"/>
              <w:top w:w="0" w:type="dxa"/>
              <w:right w:w="108" w:type="dxa"/>
              <w:bottom w:w="0" w:type="dxa"/>
            </w:tcMar>
            <w:tcW w:w="1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岗位</w:t>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9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性别</w:t>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年龄</w:t>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身高</w:t>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7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学历</w:t>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5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资格证书</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354" w:type="dxa"/>
            <w:vAlign w:val="center"/>
            <w:textDirection w:val="lrTb"/>
            <w:noWrap w:val="false"/>
          </w:tcPr>
          <w:p>
            <w:pPr>
              <w:spacing w:before="0" w:after="0" w:line="57" w:lineRule="atLeast"/>
            </w:pPr>
            <w:r/>
            <w:r/>
          </w:p>
        </w:tc>
      </w:tr>
      <w:tr>
        <w:trPr>
          <w:trHeight w:val="50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保安队长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354" w:type="dxa"/>
            <w:vAlign w:val="center"/>
            <w:textDirection w:val="lrTb"/>
            <w:noWrap w:val="false"/>
          </w:tcPr>
          <w:p>
            <w:pPr>
              <w:spacing w:before="0" w:after="0" w:line="57" w:lineRule="atLeast"/>
            </w:pPr>
            <w:r/>
            <w:r/>
          </w:p>
        </w:tc>
      </w:tr>
      <w:tr>
        <w:trPr>
          <w:trHeight w:val="2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354" w:type="dxa"/>
            <w:vAlign w:val="center"/>
            <w:textDirection w:val="lrTb"/>
            <w:noWrap w:val="false"/>
          </w:tcPr>
          <w:p>
            <w:pPr>
              <w:spacing w:before="0" w:after="0" w:line="57" w:lineRule="atLeast"/>
            </w:pPr>
            <w:r/>
            <w:r/>
          </w:p>
        </w:tc>
      </w:tr>
      <w:tr>
        <w:trPr>
          <w:trHeight w:val="2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354" w:type="dxa"/>
            <w:vAlign w:val="center"/>
            <w:textDirection w:val="lrTb"/>
            <w:noWrap w:val="false"/>
          </w:tcPr>
          <w:p>
            <w:pPr>
              <w:spacing w:before="0" w:after="0" w:line="57" w:lineRule="atLeast"/>
            </w:pPr>
            <w:r/>
            <w:r/>
          </w:p>
        </w:tc>
      </w:tr>
      <w:tr>
        <w:trPr>
          <w:trHeight w:val="2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354" w:type="dxa"/>
            <w:vAlign w:val="center"/>
            <w:textDirection w:val="lrTb"/>
            <w:noWrap w:val="false"/>
          </w:tcPr>
          <w:p>
            <w:pPr>
              <w:spacing w:before="0" w:after="0" w:line="57" w:lineRule="atLeast"/>
            </w:pPr>
            <w:r/>
            <w:r/>
          </w:p>
        </w:tc>
      </w:tr>
      <w:tr>
        <w:trPr>
          <w:trHeight w:val="2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354" w:type="dxa"/>
            <w:vAlign w:val="center"/>
            <w:textDirection w:val="lrTb"/>
            <w:noWrap w:val="false"/>
          </w:tcPr>
          <w:p>
            <w:pPr>
              <w:spacing w:before="0" w:after="0" w:line="57" w:lineRule="atLeast"/>
            </w:pPr>
            <w:r/>
            <w:r/>
          </w:p>
        </w:tc>
      </w:tr>
      <w:tr>
        <w:trPr>
          <w:trHeight w:val="2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354" w:type="dxa"/>
            <w:vAlign w:val="center"/>
            <w:textDirection w:val="lrTb"/>
            <w:noWrap w:val="false"/>
          </w:tcPr>
          <w:p>
            <w:pPr>
              <w:spacing w:before="0" w:after="0" w:line="57" w:lineRule="atLeast"/>
            </w:pPr>
            <w:r/>
            <w:r/>
          </w:p>
        </w:tc>
      </w:tr>
      <w:tr>
        <w:trPr>
          <w:trHeight w:val="2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354" w:type="dxa"/>
            <w:vAlign w:val="center"/>
            <w:textDirection w:val="lrTb"/>
            <w:noWrap w:val="false"/>
          </w:tcPr>
          <w:p>
            <w:pPr>
              <w:spacing w:before="0" w:after="0" w:line="57" w:lineRule="atLeast"/>
            </w:pPr>
            <w:r/>
            <w:r/>
          </w:p>
        </w:tc>
      </w:tr>
      <w:tr>
        <w:trPr>
          <w:trHeight w:val="2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354" w:type="dxa"/>
            <w:vAlign w:val="center"/>
            <w:textDirection w:val="lrTb"/>
            <w:noWrap w:val="false"/>
          </w:tcPr>
          <w:p>
            <w:pPr>
              <w:spacing w:before="0" w:after="0" w:line="57" w:lineRule="atLeast"/>
            </w:pPr>
            <w:r/>
            <w:r/>
          </w:p>
        </w:tc>
      </w:tr>
      <w:tr>
        <w:trPr>
          <w:trHeight w:val="2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354" w:type="dxa"/>
            <w:vAlign w:val="center"/>
            <w:textDirection w:val="lrTb"/>
            <w:noWrap w:val="false"/>
          </w:tcPr>
          <w:p>
            <w:pPr>
              <w:spacing w:before="0" w:after="0" w:line="57" w:lineRule="atLeast"/>
            </w:pPr>
            <w:r/>
            <w:r/>
          </w:p>
        </w:tc>
      </w:tr>
      <w:tr>
        <w:trPr>
          <w:trHeight w:val="2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354" w:type="dxa"/>
            <w:vAlign w:val="center"/>
            <w:textDirection w:val="lrTb"/>
            <w:noWrap w:val="false"/>
          </w:tcPr>
          <w:p>
            <w:pPr>
              <w:spacing w:before="0" w:after="0" w:line="57" w:lineRule="atLeast"/>
            </w:pPr>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注：1.列入本表的安保人员如需更换，需经采购人同意，擅自更换属于违约行为。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2.列入本表的安保人员需提供公安部门核发的保安员资格上岗证书、身份证、学历证书或相关学历证明材料，符合加分条件的有关证书、证明材料（如有）。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3.行数不够请自行添加。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供应商单位：</w:t>
      </w:r>
      <w:r>
        <w:rPr>
          <w:rFonts w:ascii="SimSun" w:hAnsi="SimSun" w:eastAsia="SimSun" w:cs="SimSun"/>
          <w:color w:val="000000"/>
          <w:sz w:val="21"/>
          <w:u w:val="single"/>
        </w:rPr>
        <w:t xml:space="preserve">（加盖CA电子公章）   </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法定代表人或授权代表（签字或盖章）：</w:t>
      </w:r>
      <w:r/>
    </w:p>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日期：  　年　月　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12.供应商情况表</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626"/>
        <w:gridCol w:w="897"/>
        <w:gridCol w:w="1021"/>
        <w:gridCol w:w="1160"/>
        <w:gridCol w:w="311"/>
        <w:gridCol w:w="1246"/>
        <w:gridCol w:w="63"/>
        <w:gridCol w:w="720"/>
        <w:gridCol w:w="1923"/>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2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w:t>
            </w:r>
            <w:r/>
          </w:p>
        </w:tc>
        <w:tc>
          <w:tcPr>
            <w:gridSpan w:val="8"/>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3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注册地址</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邮政编码</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6"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传真</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网址</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企业统一社会信用代码</w:t>
            </w:r>
            <w:r/>
          </w:p>
        </w:tc>
        <w:tc>
          <w:tcPr>
            <w:gridSpan w:val="8"/>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技术职称</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技术负责人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技术职称</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成立时间</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6"/>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员工总人数：</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企业资质等级</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0"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其中</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高级职称人员</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营业执照号</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vMerge w:val="continue"/>
            <w:textDirection w:val="lrTb"/>
            <w:noWrap w:val="false"/>
          </w:tcPr>
          <w:p>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中级职称人员</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注册资金</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vMerge w:val="continue"/>
            <w:textDirection w:val="lrTb"/>
            <w:noWrap w:val="false"/>
          </w:tcPr>
          <w:p>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初级职称人员</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vMerge w:val="continue"/>
            <w:textDirection w:val="lrTb"/>
            <w:noWrap w:val="false"/>
          </w:tcPr>
          <w:p>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技工</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账号</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vMerge w:val="continue"/>
            <w:textDirection w:val="lrTb"/>
            <w:noWrap w:val="false"/>
          </w:tcPr>
          <w:p>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8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经营范围</w:t>
            </w:r>
            <w:r/>
          </w:p>
        </w:tc>
        <w:tc>
          <w:tcPr>
            <w:gridSpan w:val="8"/>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c>
          <w:tcPr>
            <w:gridSpan w:val="8"/>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26"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97"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021"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60"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11"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46"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63"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720"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923" w:type="dxa"/>
            <w:vAlign w:val="center"/>
            <w:textDirection w:val="lrTb"/>
            <w:noWrap w:val="false"/>
          </w:tcPr>
          <w:p>
            <w:pPr>
              <w:spacing w:before="0" w:after="0" w:line="57" w:lineRule="atLeast"/>
            </w:pPr>
            <w:r/>
            <w:r/>
          </w:p>
        </w:tc>
      </w:tr>
    </w:tbl>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供应商单位：</w:t>
      </w:r>
      <w:r>
        <w:rPr>
          <w:rFonts w:ascii="SimSun" w:hAnsi="SimSun" w:eastAsia="SimSun" w:cs="SimSun"/>
          <w:color w:val="000000"/>
          <w:sz w:val="21"/>
          <w:u w:val="single"/>
        </w:rPr>
        <w:t xml:space="preserve">（加盖CA电子公章）   </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法定代表人或被授权人：（签字或盖章）</w:t>
      </w:r>
      <w:r/>
    </w:p>
    <w:p>
      <w:pPr>
        <w:ind w:left="0" w:right="0" w:firstLine="132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      月     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pStyle w:val="652"/>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13.首次响应报价表</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本次为首次报价</w:t>
      </w:r>
      <w:r>
        <w:rPr>
          <w:rFonts w:ascii="Calibri" w:hAnsi="Calibri" w:eastAsia="Calibri" w:cs="Calibri"/>
          <w:color w:val="000000"/>
          <w:sz w:val="24"/>
        </w:rPr>
        <w:t xml:space="preserve">                                 </w:t>
      </w:r>
      <w:r>
        <w:rPr>
          <w:rFonts w:ascii="SimSun" w:hAnsi="SimSun" w:eastAsia="SimSun" w:cs="SimSun"/>
          <w:color w:val="000000"/>
          <w:sz w:val="24"/>
        </w:rPr>
        <w:t xml:space="preserve">货币单位：人民币元</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669"/>
        <w:gridCol w:w="2681"/>
        <w:gridCol w:w="3992"/>
      </w:tblGrid>
      <w:tr>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669" w:type="dxa"/>
            <w:vAlign w:val="center"/>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681" w:type="dxa"/>
            <w:vAlign w:val="center"/>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项目内容</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3992" w:type="dxa"/>
            <w:vAlign w:val="center"/>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总价（小写）</w:t>
            </w:r>
            <w:r/>
          </w:p>
        </w:tc>
      </w:tr>
      <w:tr>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669" w:type="dxa"/>
            <w:vAlign w:val="center"/>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681" w:type="dxa"/>
            <w:vAlign w:val="center"/>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详见响应文件</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3992" w:type="dxa"/>
            <w:vAlign w:val="center"/>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rPr>
                <w:rFonts w:ascii="SimSun" w:hAnsi="SimSun" w:eastAsia="SimSun" w:cs="SimSun"/>
                <w:color w:val="000000"/>
                <w:sz w:val="24"/>
              </w:rPr>
              <w:t xml:space="preserve">元</w:t>
            </w:r>
            <w:r/>
          </w:p>
        </w:tc>
      </w:tr>
      <w:tr>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669" w:type="dxa"/>
            <w:vAlign w:val="center"/>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总价（大写）：</w:t>
            </w:r>
            <w:r/>
          </w:p>
        </w:tc>
        <w:tc>
          <w:tcPr>
            <w:gridSpan w:val="2"/>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6673" w:type="dxa"/>
            <w:vAlign w:val="center"/>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金额大写</w:t>
            </w:r>
            <w:r>
              <w:rPr>
                <w:rFonts w:ascii="Calibri" w:hAnsi="Calibri" w:eastAsia="Calibri" w:cs="Calibri"/>
                <w:color w:val="000000"/>
                <w:sz w:val="24"/>
              </w:rPr>
              <w:t xml:space="preserve"> </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报价说明：</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w:t>
      </w:r>
      <w:r>
        <w:rPr>
          <w:rFonts w:ascii="SimSun" w:hAnsi="SimSun" w:eastAsia="SimSun" w:cs="SimSun"/>
          <w:color w:val="000000"/>
          <w:sz w:val="24"/>
        </w:rPr>
        <w:t xml:space="preserve">、报价包括完成项目的所有费用。采购人不再支付报价以外的任何费用。</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w:t>
      </w:r>
      <w:r>
        <w:rPr>
          <w:rFonts w:ascii="SimSun" w:hAnsi="SimSun" w:eastAsia="SimSun" w:cs="SimSun"/>
          <w:color w:val="000000"/>
          <w:sz w:val="24"/>
        </w:rPr>
        <w:t xml:space="preserve">、报价以总价为准，大小写不一致的以大写为准；</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w:t>
      </w:r>
      <w:r>
        <w:rPr>
          <w:rFonts w:ascii="SimSun" w:hAnsi="SimSun" w:eastAsia="SimSun" w:cs="SimSun"/>
          <w:color w:val="000000"/>
          <w:sz w:val="24"/>
        </w:rPr>
        <w:t xml:space="preserve">、偏离说明：详见《偏离表》；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供应商单位：</w:t>
      </w:r>
      <w:r>
        <w:rPr>
          <w:rFonts w:ascii="SimSun" w:hAnsi="SimSun" w:eastAsia="SimSun" w:cs="SimSun"/>
          <w:color w:val="000000"/>
          <w:sz w:val="21"/>
          <w:u w:val="single"/>
        </w:rPr>
        <w:t xml:space="preserve">（加盖CA电子公章）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注：1.</w:t>
      </w:r>
      <w:r>
        <w:rPr>
          <w:rFonts w:ascii="SimSun" w:hAnsi="SimSun" w:eastAsia="SimSun" w:cs="SimSun"/>
          <w:color w:val="000000"/>
          <w:sz w:val="21"/>
        </w:rPr>
        <w:t xml:space="preserve">磋商报价（以人民币计价）应包括为实施本项目所需的一切含税费用、支付给员工的工资和国家强制缴纳的各种社会保障资金，以及乙方认为需要的其他费用等。固定总价不随通货膨胀的影响而波动。</w:t>
      </w:r>
      <w:r>
        <w:rPr>
          <w:rFonts w:ascii="SimSun" w:hAnsi="SimSun" w:eastAsia="SimSun" w:cs="SimSun"/>
          <w:b/>
          <w:color w:val="000000"/>
          <w:sz w:val="21"/>
        </w:rPr>
        <w:t xml:space="preserve">2.第二次报价将在磋商现场进行，响应文件提交时只需填写磋商报价表（首次）。在二次报价环节，代理机构在苏采云系统发送二次报价通知后，所有的响应供应商须在15分钟内填写完成二次报价，并按苏采云系统要求提交二次报价表。</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r>
      <w:r/>
    </w:p>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14.分项报价表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14"/>
        <w:gridCol w:w="526"/>
        <w:gridCol w:w="1140"/>
        <w:gridCol w:w="650"/>
        <w:gridCol w:w="676"/>
        <w:gridCol w:w="1036"/>
        <w:gridCol w:w="1305"/>
        <w:gridCol w:w="1665"/>
        <w:gridCol w:w="1665"/>
      </w:tblGrid>
      <w:tr>
        <w:trPr>
          <w:trHeight w:val="334"/>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5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编号</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5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内容</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1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项目名称</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6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数量</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6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单位</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10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人均工资</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13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月总价</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16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年总价</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16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备注</w:t>
            </w:r>
            <w:r/>
          </w:p>
        </w:tc>
      </w:tr>
      <w:tr>
        <w:trPr>
          <w:trHeight w:val="386"/>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51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526"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人员工资</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保安队长</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6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6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人</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0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3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6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6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386"/>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安保人员</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6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6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人</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0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3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6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6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386"/>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6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6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人</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0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3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6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6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386"/>
        </w:trPr>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小计</w:t>
            </w:r>
            <w:r/>
          </w:p>
        </w:tc>
        <w:tc>
          <w:tcPr>
            <w:gridSpan w:val="2"/>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3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人</w:t>
            </w:r>
            <w:r/>
          </w:p>
        </w:tc>
        <w:tc>
          <w:tcPr>
            <w:gridSpan w:val="4"/>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56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386"/>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5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gridSpan w:val="2"/>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服装费</w:t>
            </w:r>
            <w:r/>
          </w:p>
        </w:tc>
        <w:tc>
          <w:tcPr>
            <w:gridSpan w:val="2"/>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3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人</w:t>
            </w:r>
            <w:r/>
          </w:p>
        </w:tc>
        <w:tc>
          <w:tcPr>
            <w:gridSpan w:val="4"/>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56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386"/>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5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gridSpan w:val="2"/>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国假加班费</w:t>
            </w:r>
            <w:r/>
          </w:p>
        </w:tc>
        <w:tc>
          <w:tcPr>
            <w:gridSpan w:val="2"/>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3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gridSpan w:val="4"/>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56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386"/>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5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w:t>
            </w:r>
            <w:r/>
          </w:p>
        </w:tc>
        <w:tc>
          <w:tcPr>
            <w:gridSpan w:val="2"/>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社会保险</w:t>
            </w:r>
            <w:r>
              <w:rPr>
                <w:rFonts w:ascii="SimSun" w:hAnsi="SimSun" w:eastAsia="SimSun" w:cs="SimSun"/>
                <w:color w:val="000000"/>
                <w:sz w:val="21"/>
              </w:rPr>
              <w:t xml:space="preserve">及人身意外伤害等保险</w:t>
            </w:r>
            <w:r/>
          </w:p>
        </w:tc>
        <w:tc>
          <w:tcPr>
            <w:gridSpan w:val="6"/>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69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386"/>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5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w:t>
            </w:r>
            <w:r/>
          </w:p>
        </w:tc>
        <w:tc>
          <w:tcPr>
            <w:gridSpan w:val="2"/>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保安工具、耗材</w:t>
            </w:r>
            <w:r/>
          </w:p>
        </w:tc>
        <w:tc>
          <w:tcPr>
            <w:tcBorders>
              <w:top w:val="none" w:color="000000" w:sz="4" w:space="0"/>
              <w:left w:val="none" w:color="000000" w:sz="4" w:space="0"/>
              <w:bottom w:val="single" w:color="000000" w:sz="8" w:space="0"/>
              <w:right w:val="none" w:color="000000" w:sz="4" w:space="0"/>
            </w:tcBorders>
            <w:tcMar>
              <w:left w:w="15" w:type="dxa"/>
              <w:top w:w="15" w:type="dxa"/>
              <w:right w:w="15" w:type="dxa"/>
              <w:bottom w:w="15" w:type="dxa"/>
            </w:tcMar>
            <w:tcW w:w="6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6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年</w:t>
            </w:r>
            <w:r/>
          </w:p>
        </w:tc>
        <w:tc>
          <w:tcPr>
            <w:gridSpan w:val="4"/>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56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386"/>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5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小计</w:t>
            </w:r>
            <w:r/>
          </w:p>
        </w:tc>
        <w:tc>
          <w:tcPr>
            <w:gridSpan w:val="6"/>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69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466"/>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5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w:t>
            </w:r>
            <w:r/>
          </w:p>
        </w:tc>
        <w:tc>
          <w:tcPr>
            <w:gridSpan w:val="2"/>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不可预测费</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6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6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年</w:t>
            </w:r>
            <w:r/>
          </w:p>
        </w:tc>
        <w:tc>
          <w:tcPr>
            <w:gridSpan w:val="4"/>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56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18"/>
              </w:rPr>
              <w:t xml:space="preserve"> </w:t>
            </w:r>
            <w:r/>
          </w:p>
        </w:tc>
      </w:tr>
      <w:tr>
        <w:trPr>
          <w:trHeight w:val="466"/>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5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w:t>
            </w:r>
            <w:r/>
          </w:p>
        </w:tc>
        <w:tc>
          <w:tcPr>
            <w:gridSpan w:val="2"/>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员工福利</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6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6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年</w:t>
            </w:r>
            <w:r/>
          </w:p>
        </w:tc>
        <w:tc>
          <w:tcPr>
            <w:gridSpan w:val="4"/>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56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18"/>
              </w:rPr>
              <w:t xml:space="preserve"> </w:t>
            </w:r>
            <w:r/>
          </w:p>
        </w:tc>
      </w:tr>
      <w:tr>
        <w:trPr>
          <w:trHeight w:val="386"/>
        </w:trPr>
        <w:tc>
          <w:tcPr>
            <w:tcBorders>
              <w:top w:val="none" w:color="000000" w:sz="4" w:space="0"/>
              <w:left w:val="single" w:color="000000" w:sz="8" w:space="0"/>
              <w:bottom w:val="none" w:color="000000" w:sz="4" w:space="0"/>
              <w:right w:val="single" w:color="000000" w:sz="8" w:space="0"/>
            </w:tcBorders>
            <w:tcMar>
              <w:left w:w="15" w:type="dxa"/>
              <w:top w:w="15" w:type="dxa"/>
              <w:right w:w="15" w:type="dxa"/>
              <w:bottom w:w="15" w:type="dxa"/>
            </w:tcMar>
            <w:tcW w:w="5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w:t>
            </w:r>
            <w:r/>
          </w:p>
        </w:tc>
        <w:tc>
          <w:tcPr>
            <w:gridSpan w:val="2"/>
            <w:tcBorders>
              <w:top w:val="none" w:color="000000" w:sz="4" w:space="0"/>
              <w:left w:val="none" w:color="000000" w:sz="4" w:space="0"/>
              <w:bottom w:val="none" w:color="000000" w:sz="4" w:space="0"/>
              <w:right w:val="single" w:color="000000" w:sz="8" w:space="0"/>
            </w:tcBorders>
            <w:tcMar>
              <w:left w:w="15" w:type="dxa"/>
              <w:top w:w="15" w:type="dxa"/>
              <w:right w:w="15" w:type="dxa"/>
              <w:bottom w:w="15" w:type="dxa"/>
            </w:tcMar>
            <w:tcW w:w="1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公司管理费</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6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6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年</w:t>
            </w:r>
            <w:r/>
          </w:p>
        </w:tc>
        <w:tc>
          <w:tcPr>
            <w:gridSpan w:val="4"/>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56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386"/>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5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w:t>
            </w:r>
            <w:r/>
          </w:p>
        </w:tc>
        <w:tc>
          <w:tcPr>
            <w:gridSpan w:val="2"/>
            <w:tcBorders>
              <w:top w:val="single" w:color="000000" w:sz="8" w:space="0"/>
              <w:left w:val="none" w:color="000000" w:sz="4" w:space="0"/>
              <w:bottom w:val="none" w:color="000000" w:sz="4" w:space="0"/>
              <w:right w:val="single" w:color="000000" w:sz="8" w:space="0"/>
            </w:tcBorders>
            <w:tcMar>
              <w:left w:w="15" w:type="dxa"/>
              <w:top w:w="15" w:type="dxa"/>
              <w:right w:w="15" w:type="dxa"/>
              <w:bottom w:w="15" w:type="dxa"/>
            </w:tcMar>
            <w:tcW w:w="1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税金</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6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18"/>
              </w:rPr>
              <w:t xml:space="preserve">1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6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年</w:t>
            </w:r>
            <w:r/>
          </w:p>
        </w:tc>
        <w:tc>
          <w:tcPr>
            <w:gridSpan w:val="4"/>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56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386"/>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5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c>
          <w:tcPr>
            <w:gridSpan w:val="2"/>
            <w:tcBorders>
              <w:top w:val="single" w:color="000000" w:sz="8" w:space="0"/>
              <w:left w:val="none" w:color="000000" w:sz="4" w:space="0"/>
              <w:bottom w:val="none" w:color="000000" w:sz="4" w:space="0"/>
              <w:right w:val="single" w:color="000000" w:sz="8" w:space="0"/>
            </w:tcBorders>
            <w:tcMar>
              <w:left w:w="15" w:type="dxa"/>
              <w:top w:w="15" w:type="dxa"/>
              <w:right w:w="15" w:type="dxa"/>
              <w:bottom w:w="15" w:type="dxa"/>
            </w:tcMar>
            <w:tcW w:w="1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6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6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gridSpan w:val="4"/>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56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39"/>
        </w:trPr>
        <w:tc>
          <w:tcPr>
            <w:gridSpan w:val="5"/>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35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投标报价小计（一年）</w:t>
            </w:r>
            <w:r/>
          </w:p>
        </w:tc>
        <w:tc>
          <w:tcPr>
            <w:gridSpan w:val="4"/>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56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2"/>
                <w:u w:val="single"/>
              </w:rPr>
              <w:t xml:space="preserve">            </w:t>
            </w:r>
            <w:r>
              <w:rPr>
                <w:rFonts w:ascii="SimSun" w:hAnsi="SimSun" w:eastAsia="SimSun" w:cs="SimSun"/>
                <w:b/>
                <w:color w:val="000000"/>
                <w:sz w:val="22"/>
              </w:rPr>
              <w:t xml:space="preserve">元</w:t>
            </w:r>
            <w:r>
              <w:rPr>
                <w:rFonts w:ascii="Calibri" w:hAnsi="Calibri" w:eastAsia="Calibri" w:cs="Calibri"/>
                <w:b/>
                <w:color w:val="000000"/>
                <w:sz w:val="22"/>
              </w:rPr>
              <w:t xml:space="preserve">/</w:t>
            </w:r>
            <w:r>
              <w:rPr>
                <w:rFonts w:ascii="SimSun" w:hAnsi="SimSun" w:eastAsia="SimSun" w:cs="SimSun"/>
                <w:b/>
                <w:color w:val="000000"/>
                <w:sz w:val="22"/>
              </w:rPr>
              <w:t xml:space="preserve">年</w:t>
            </w:r>
            <w:r/>
          </w:p>
        </w:tc>
      </w:tr>
      <w:tr>
        <w:trPr>
          <w:trHeight w:val="539"/>
        </w:trPr>
        <w:tc>
          <w:tcPr>
            <w:gridSpan w:val="5"/>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35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投标报价总计（三年）</w:t>
            </w:r>
            <w:r/>
          </w:p>
        </w:tc>
        <w:tc>
          <w:tcPr>
            <w:gridSpan w:val="4"/>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56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2"/>
                <w:u w:val="single"/>
              </w:rPr>
              <w:t xml:space="preserve">            </w:t>
            </w:r>
            <w:r>
              <w:rPr>
                <w:rFonts w:ascii="SimSun" w:hAnsi="SimSun" w:eastAsia="SimSun" w:cs="SimSun"/>
                <w:b/>
                <w:color w:val="000000"/>
                <w:sz w:val="22"/>
              </w:rPr>
              <w:t xml:space="preserve">元</w:t>
            </w:r>
            <w:r/>
          </w:p>
        </w:tc>
      </w:tr>
    </w:tbl>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 1.此表为表样，行数可自行添加不可减少，且表式不变。</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2.各项成本费用由投标供应商自行计算填列。</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3.从业人员工资不低于泰州市最低工资标准，并依法缴纳各类社会保险及人身意外伤害等保险</w:t>
      </w:r>
      <w:r>
        <w:rPr>
          <w:rFonts w:ascii="SimSun" w:hAnsi="SimSun" w:eastAsia="SimSun" w:cs="SimSun"/>
          <w:color w:val="000000"/>
          <w:sz w:val="28"/>
        </w:rPr>
        <w:t xml:space="preserve">。</w:t>
      </w:r>
      <w:r>
        <w:rPr>
          <w:rFonts w:ascii="SimSun" w:hAnsi="SimSun" w:eastAsia="SimSun" w:cs="SimSun"/>
          <w:color w:val="000000"/>
          <w:sz w:val="21"/>
        </w:rPr>
        <w:t xml:space="preserve">4.“分项报价表”中的“投标报价总计（三年）”数应当等于“首次响应报价表”中“总价”数。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供应商单位：</w:t>
      </w:r>
      <w:r>
        <w:rPr>
          <w:rFonts w:ascii="SimSun" w:hAnsi="SimSun" w:eastAsia="SimSun" w:cs="SimSun"/>
          <w:color w:val="000000"/>
          <w:sz w:val="21"/>
          <w:u w:val="single"/>
        </w:rPr>
        <w:t xml:space="preserve">（加盖CA电子公章）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法定代表人或者授权代表（签字或盖章）：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日期：    年   月    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15.技术说明与服务方案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16.要求采购人提供的配合（如有自拟并自行添加）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17.其他（供应商认为有必要提供的声明和文件，如有自拟并自行添加）</w:t>
      </w:r>
      <w:r/>
    </w:p>
    <w:p>
      <w:pPr>
        <w:ind w:left="0" w:right="0" w:firstLine="482"/>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82"/>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中小企业划型标准规定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各行业划型标准为：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（一）农、林、牧、渔业。营业收入20000万元以下的为中小微型企业。其中，营业收入500万元及以上的为中型企业，营业收入50万元及以上的为小型企业，营业收入50万元以下的为微型企业。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（十六）其他未列明行业。从业人员300人以下的为中小微型企业。其中，从业人员100人及以上的为中型企业；从业人员10人及以上的为小型企业；从业人员10人以下的为微型企业。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font>
  <w:font w:name="Calibri">
    <w:panose1 w:val="020F0502020204030204"/>
  </w:font>
  <w:font w:name="SimSun">
    <w:panose1 w:val="02010600030101010101"/>
  </w:font>
  <w:font w:name="Symbol">
    <w:panose1 w:val="05050102010706020507"/>
  </w:font>
  <w:font w:name="Wingdings">
    <w:panose1 w:val="05000000000000000000"/>
  </w:font>
  <w:font w:name="Courier New">
    <w:panose1 w:val="02070309020205020404"/>
  </w:font>
  <w:font w:name="Microsoft New Tai Lue">
    <w:panose1 w:val="020B0502040204020203"/>
  </w:font>
  <w:font w:name="NSimSun">
    <w:panose1 w:val="02010609030101010101"/>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tab"/>
      <w:lvlText w:val="第%1章"/>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decimal"/>
      <w:isLgl w:val="false"/>
      <w:suff w:val="tab"/>
      <w:lvlText w:val="第%1章"/>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1560" w:hanging="720"/>
      </w:pPr>
    </w:lvl>
    <w:lvl w:ilvl="1">
      <w:start w:val="1"/>
      <w:numFmt w:val="lowerLetter"/>
      <w:isLgl w:val="false"/>
      <w:suff w:val="tab"/>
      <w:lvlText w:val="%2)"/>
      <w:lvlJc w:val="left"/>
      <w:pPr>
        <w:ind w:left="1680" w:hanging="420"/>
      </w:pPr>
    </w:lvl>
    <w:lvl w:ilvl="2">
      <w:start w:val="1"/>
      <w:numFmt w:val="lowerRoman"/>
      <w:isLgl w:val="false"/>
      <w:suff w:val="tab"/>
      <w:lvlText w:val="%3."/>
      <w:lvlJc w:val="right"/>
      <w:pPr>
        <w:ind w:left="2100" w:hanging="420"/>
      </w:pPr>
    </w:lvl>
    <w:lvl w:ilvl="3">
      <w:start w:val="1"/>
      <w:numFmt w:val="decimal"/>
      <w:isLgl w:val="false"/>
      <w:suff w:val="tab"/>
      <w:lvlText w:val="%4."/>
      <w:lvlJc w:val="left"/>
      <w:pPr>
        <w:ind w:left="2520" w:hanging="420"/>
      </w:pPr>
    </w:lvl>
    <w:lvl w:ilvl="4">
      <w:start w:val="1"/>
      <w:numFmt w:val="lowerLetter"/>
      <w:isLgl w:val="false"/>
      <w:suff w:val="tab"/>
      <w:lvlText w:val="%5)"/>
      <w:lvlJc w:val="left"/>
      <w:pPr>
        <w:ind w:left="2940" w:hanging="420"/>
      </w:pPr>
    </w:lvl>
    <w:lvl w:ilvl="5">
      <w:start w:val="1"/>
      <w:numFmt w:val="lowerRoman"/>
      <w:isLgl w:val="false"/>
      <w:suff w:val="tab"/>
      <w:lvlText w:val="%6."/>
      <w:lvlJc w:val="right"/>
      <w:pPr>
        <w:ind w:left="3360" w:hanging="420"/>
      </w:pPr>
    </w:lvl>
    <w:lvl w:ilvl="6">
      <w:start w:val="1"/>
      <w:numFmt w:val="decimal"/>
      <w:isLgl w:val="false"/>
      <w:suff w:val="tab"/>
      <w:lvlText w:val="%7."/>
      <w:lvlJc w:val="left"/>
      <w:pPr>
        <w:ind w:left="3780" w:hanging="420"/>
      </w:pPr>
    </w:lvl>
    <w:lvl w:ilvl="7">
      <w:start w:val="1"/>
      <w:numFmt w:val="lowerLetter"/>
      <w:isLgl w:val="false"/>
      <w:suff w:val="tab"/>
      <w:lvlText w:val="%8)"/>
      <w:lvlJc w:val="left"/>
      <w:pPr>
        <w:ind w:left="4200" w:hanging="420"/>
      </w:pPr>
    </w:lvl>
    <w:lvl w:ilvl="8">
      <w:start w:val="1"/>
      <w:numFmt w:val="lowerRoman"/>
      <w:isLgl w:val="false"/>
      <w:suff w:val="tab"/>
      <w:lvlText w:val="%9."/>
      <w:lvlJc w:val="right"/>
      <w:pPr>
        <w:ind w:left="4620" w:hanging="420"/>
      </w:pPr>
    </w:lvl>
  </w:abstractNum>
  <w:abstractNum w:abstractNumId="4">
    <w:multiLevelType w:val="hybridMultilevel"/>
    <w:lvl w:ilvl="0">
      <w:start w:val="7"/>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
      <w:numFmt w:val="decimal"/>
      <w:isLgl w:val="false"/>
      <w:suff w:val="tab"/>
      <w:lvlText w:val="第%1章"/>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5"/>
      <w:numFmt w:val="decimal"/>
      <w:isLgl w:val="false"/>
      <w:suff w:val="tab"/>
      <w:lvlText w:val="第%1章"/>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1560" w:hanging="720"/>
      </w:pPr>
    </w:lvl>
    <w:lvl w:ilvl="1">
      <w:start w:val="1"/>
      <w:numFmt w:val="lowerLetter"/>
      <w:isLgl w:val="false"/>
      <w:suff w:val="tab"/>
      <w:lvlText w:val="%2)"/>
      <w:lvlJc w:val="left"/>
      <w:pPr>
        <w:ind w:left="1680" w:hanging="420"/>
      </w:pPr>
    </w:lvl>
    <w:lvl w:ilvl="2">
      <w:start w:val="1"/>
      <w:numFmt w:val="lowerRoman"/>
      <w:isLgl w:val="false"/>
      <w:suff w:val="tab"/>
      <w:lvlText w:val="%3."/>
      <w:lvlJc w:val="right"/>
      <w:pPr>
        <w:ind w:left="2100" w:hanging="420"/>
      </w:pPr>
    </w:lvl>
    <w:lvl w:ilvl="3">
      <w:start w:val="1"/>
      <w:numFmt w:val="decimal"/>
      <w:isLgl w:val="false"/>
      <w:suff w:val="tab"/>
      <w:lvlText w:val="%4."/>
      <w:lvlJc w:val="left"/>
      <w:pPr>
        <w:ind w:left="2520" w:hanging="420"/>
      </w:pPr>
    </w:lvl>
    <w:lvl w:ilvl="4">
      <w:start w:val="1"/>
      <w:numFmt w:val="lowerLetter"/>
      <w:isLgl w:val="false"/>
      <w:suff w:val="tab"/>
      <w:lvlText w:val="%5)"/>
      <w:lvlJc w:val="left"/>
      <w:pPr>
        <w:ind w:left="2940" w:hanging="420"/>
      </w:pPr>
    </w:lvl>
    <w:lvl w:ilvl="5">
      <w:start w:val="1"/>
      <w:numFmt w:val="lowerRoman"/>
      <w:isLgl w:val="false"/>
      <w:suff w:val="tab"/>
      <w:lvlText w:val="%6."/>
      <w:lvlJc w:val="right"/>
      <w:pPr>
        <w:ind w:left="3360" w:hanging="420"/>
      </w:pPr>
    </w:lvl>
    <w:lvl w:ilvl="6">
      <w:start w:val="1"/>
      <w:numFmt w:val="decimal"/>
      <w:isLgl w:val="false"/>
      <w:suff w:val="tab"/>
      <w:lvlText w:val="%7."/>
      <w:lvlJc w:val="left"/>
      <w:pPr>
        <w:ind w:left="3780" w:hanging="420"/>
      </w:pPr>
    </w:lvl>
    <w:lvl w:ilvl="7">
      <w:start w:val="1"/>
      <w:numFmt w:val="lowerLetter"/>
      <w:isLgl w:val="false"/>
      <w:suff w:val="tab"/>
      <w:lvlText w:val="%8)"/>
      <w:lvlJc w:val="left"/>
      <w:pPr>
        <w:ind w:left="4200" w:hanging="420"/>
      </w:pPr>
    </w:lvl>
    <w:lvl w:ilvl="8">
      <w:start w:val="1"/>
      <w:numFmt w:val="lowerRoman"/>
      <w:isLgl w:val="false"/>
      <w:suff w:val="tab"/>
      <w:lvlText w:val="%9."/>
      <w:lvlJc w:val="right"/>
      <w:pPr>
        <w:ind w:left="4620" w:hanging="42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0">
    <w:name w:val="Heading 1"/>
    <w:link w:val="651"/>
    <w:uiPriority w:val="9"/>
    <w:qFormat/>
    <w:pPr>
      <w:keepLines/>
      <w:keepNext/>
      <w:spacing w:before="480" w:after="200"/>
      <w:outlineLvl w:val="0"/>
    </w:pPr>
    <w:rPr>
      <w:rFonts w:ascii="Arial" w:hAnsi="Arial" w:eastAsia="Arial" w:cs="Arial"/>
      <w:sz w:val="40"/>
      <w:szCs w:val="40"/>
    </w:rPr>
  </w:style>
  <w:style w:type="character" w:styleId="651">
    <w:name w:val="Heading 1 Char"/>
    <w:link w:val="650"/>
    <w:uiPriority w:val="9"/>
    <w:rPr>
      <w:rFonts w:ascii="Arial" w:hAnsi="Arial" w:eastAsia="Arial" w:cs="Arial"/>
      <w:sz w:val="40"/>
      <w:szCs w:val="40"/>
    </w:rPr>
  </w:style>
  <w:style w:type="paragraph" w:styleId="652">
    <w:name w:val="Heading 2"/>
    <w:link w:val="653"/>
    <w:uiPriority w:val="9"/>
    <w:unhideWhenUsed/>
    <w:qFormat/>
    <w:pPr>
      <w:keepLines/>
      <w:keepNext/>
      <w:spacing w:before="360" w:after="200"/>
      <w:outlineLvl w:val="1"/>
    </w:pPr>
    <w:rPr>
      <w:rFonts w:ascii="Arial" w:hAnsi="Arial" w:eastAsia="Arial" w:cs="Arial"/>
      <w:sz w:val="34"/>
    </w:rPr>
  </w:style>
  <w:style w:type="character" w:styleId="653">
    <w:name w:val="Heading 2 Char"/>
    <w:link w:val="652"/>
    <w:uiPriority w:val="9"/>
    <w:rPr>
      <w:rFonts w:ascii="Arial" w:hAnsi="Arial" w:eastAsia="Arial" w:cs="Arial"/>
      <w:sz w:val="34"/>
    </w:rPr>
  </w:style>
  <w:style w:type="paragraph" w:styleId="654">
    <w:name w:val="Heading 3"/>
    <w:link w:val="655"/>
    <w:uiPriority w:val="9"/>
    <w:unhideWhenUsed/>
    <w:qFormat/>
    <w:pPr>
      <w:keepLines/>
      <w:keepNext/>
      <w:spacing w:before="320" w:after="200"/>
      <w:outlineLvl w:val="2"/>
    </w:pPr>
    <w:rPr>
      <w:rFonts w:ascii="Arial" w:hAnsi="Arial" w:eastAsia="Arial" w:cs="Arial"/>
      <w:sz w:val="30"/>
      <w:szCs w:val="30"/>
    </w:rPr>
  </w:style>
  <w:style w:type="character" w:styleId="655">
    <w:name w:val="Heading 3 Char"/>
    <w:link w:val="654"/>
    <w:uiPriority w:val="9"/>
    <w:rPr>
      <w:rFonts w:ascii="Arial" w:hAnsi="Arial" w:eastAsia="Arial" w:cs="Arial"/>
      <w:sz w:val="30"/>
      <w:szCs w:val="30"/>
    </w:rPr>
  </w:style>
  <w:style w:type="paragraph" w:styleId="656">
    <w:name w:val="Heading 4"/>
    <w:link w:val="657"/>
    <w:uiPriority w:val="9"/>
    <w:unhideWhenUsed/>
    <w:qFormat/>
    <w:pPr>
      <w:keepLines/>
      <w:keepNext/>
      <w:spacing w:before="320" w:after="200"/>
      <w:outlineLvl w:val="3"/>
    </w:pPr>
    <w:rPr>
      <w:rFonts w:ascii="Arial" w:hAnsi="Arial" w:eastAsia="Arial" w:cs="Arial"/>
      <w:b/>
      <w:bCs/>
      <w:sz w:val="26"/>
      <w:szCs w:val="26"/>
    </w:rPr>
  </w:style>
  <w:style w:type="character" w:styleId="657">
    <w:name w:val="Heading 4 Char"/>
    <w:link w:val="656"/>
    <w:uiPriority w:val="9"/>
    <w:rPr>
      <w:rFonts w:ascii="Arial" w:hAnsi="Arial" w:eastAsia="Arial" w:cs="Arial"/>
      <w:b/>
      <w:bCs/>
      <w:sz w:val="26"/>
      <w:szCs w:val="26"/>
    </w:rPr>
  </w:style>
  <w:style w:type="paragraph" w:styleId="658">
    <w:name w:val="Heading 5"/>
    <w:link w:val="659"/>
    <w:uiPriority w:val="9"/>
    <w:unhideWhenUsed/>
    <w:qFormat/>
    <w:pPr>
      <w:keepLines/>
      <w:keepNext/>
      <w:spacing w:before="320" w:after="200"/>
      <w:outlineLvl w:val="4"/>
    </w:pPr>
    <w:rPr>
      <w:rFonts w:ascii="Arial" w:hAnsi="Arial" w:eastAsia="Arial" w:cs="Arial"/>
      <w:b/>
      <w:bCs/>
      <w:sz w:val="24"/>
      <w:szCs w:val="24"/>
    </w:rPr>
  </w:style>
  <w:style w:type="character" w:styleId="659">
    <w:name w:val="Heading 5 Char"/>
    <w:link w:val="658"/>
    <w:uiPriority w:val="9"/>
    <w:rPr>
      <w:rFonts w:ascii="Arial" w:hAnsi="Arial" w:eastAsia="Arial" w:cs="Arial"/>
      <w:b/>
      <w:bCs/>
      <w:sz w:val="24"/>
      <w:szCs w:val="24"/>
    </w:rPr>
  </w:style>
  <w:style w:type="paragraph" w:styleId="660">
    <w:name w:val="Heading 6"/>
    <w:link w:val="661"/>
    <w:uiPriority w:val="9"/>
    <w:unhideWhenUsed/>
    <w:qFormat/>
    <w:pPr>
      <w:keepLines/>
      <w:keepNext/>
      <w:spacing w:before="320" w:after="200"/>
      <w:outlineLvl w:val="5"/>
    </w:pPr>
    <w:rPr>
      <w:rFonts w:ascii="Arial" w:hAnsi="Arial" w:eastAsia="Arial" w:cs="Arial"/>
      <w:b/>
      <w:bCs/>
      <w:sz w:val="22"/>
      <w:szCs w:val="22"/>
    </w:rPr>
  </w:style>
  <w:style w:type="character" w:styleId="661">
    <w:name w:val="Heading 6 Char"/>
    <w:link w:val="660"/>
    <w:uiPriority w:val="9"/>
    <w:rPr>
      <w:rFonts w:ascii="Arial" w:hAnsi="Arial" w:eastAsia="Arial" w:cs="Arial"/>
      <w:b/>
      <w:bCs/>
      <w:sz w:val="22"/>
      <w:szCs w:val="22"/>
    </w:rPr>
  </w:style>
  <w:style w:type="paragraph" w:styleId="662">
    <w:name w:val="Heading 7"/>
    <w:link w:val="663"/>
    <w:uiPriority w:val="9"/>
    <w:unhideWhenUsed/>
    <w:qFormat/>
    <w:pPr>
      <w:keepLines/>
      <w:keepNext/>
      <w:spacing w:before="320" w:after="200"/>
      <w:outlineLvl w:val="6"/>
    </w:pPr>
    <w:rPr>
      <w:rFonts w:ascii="Arial" w:hAnsi="Arial" w:eastAsia="Arial" w:cs="Arial"/>
      <w:b/>
      <w:bCs/>
      <w:i/>
      <w:iCs/>
      <w:sz w:val="22"/>
      <w:szCs w:val="22"/>
    </w:rPr>
  </w:style>
  <w:style w:type="character" w:styleId="663">
    <w:name w:val="Heading 7 Char"/>
    <w:link w:val="662"/>
    <w:uiPriority w:val="9"/>
    <w:rPr>
      <w:rFonts w:ascii="Arial" w:hAnsi="Arial" w:eastAsia="Arial" w:cs="Arial"/>
      <w:b/>
      <w:bCs/>
      <w:i/>
      <w:iCs/>
      <w:sz w:val="22"/>
      <w:szCs w:val="22"/>
    </w:rPr>
  </w:style>
  <w:style w:type="paragraph" w:styleId="664">
    <w:name w:val="Heading 8"/>
    <w:link w:val="665"/>
    <w:uiPriority w:val="9"/>
    <w:unhideWhenUsed/>
    <w:qFormat/>
    <w:pPr>
      <w:keepLines/>
      <w:keepNext/>
      <w:spacing w:before="320" w:after="200"/>
      <w:outlineLvl w:val="7"/>
    </w:pPr>
    <w:rPr>
      <w:rFonts w:ascii="Arial" w:hAnsi="Arial" w:eastAsia="Arial" w:cs="Arial"/>
      <w:i/>
      <w:iCs/>
      <w:sz w:val="22"/>
      <w:szCs w:val="22"/>
    </w:rPr>
  </w:style>
  <w:style w:type="character" w:styleId="665">
    <w:name w:val="Heading 8 Char"/>
    <w:link w:val="664"/>
    <w:uiPriority w:val="9"/>
    <w:rPr>
      <w:rFonts w:ascii="Arial" w:hAnsi="Arial" w:eastAsia="Arial" w:cs="Arial"/>
      <w:i/>
      <w:iCs/>
      <w:sz w:val="22"/>
      <w:szCs w:val="22"/>
    </w:rPr>
  </w:style>
  <w:style w:type="paragraph" w:styleId="666">
    <w:name w:val="Heading 9"/>
    <w:link w:val="667"/>
    <w:uiPriority w:val="9"/>
    <w:unhideWhenUsed/>
    <w:qFormat/>
    <w:pPr>
      <w:keepLines/>
      <w:keepNext/>
      <w:spacing w:before="320" w:after="200"/>
      <w:outlineLvl w:val="8"/>
    </w:pPr>
    <w:rPr>
      <w:rFonts w:ascii="Arial" w:hAnsi="Arial" w:eastAsia="Arial" w:cs="Arial"/>
      <w:i/>
      <w:iCs/>
      <w:sz w:val="21"/>
      <w:szCs w:val="21"/>
    </w:rPr>
  </w:style>
  <w:style w:type="character" w:styleId="667">
    <w:name w:val="Heading 9 Char"/>
    <w:link w:val="666"/>
    <w:uiPriority w:val="9"/>
    <w:rPr>
      <w:rFonts w:ascii="Arial" w:hAnsi="Arial" w:eastAsia="Arial" w:cs="Arial"/>
      <w:i/>
      <w:iCs/>
      <w:sz w:val="21"/>
      <w:szCs w:val="21"/>
    </w:rPr>
  </w:style>
  <w:style w:type="paragraph" w:styleId="668">
    <w:name w:val="List Paragraph"/>
    <w:uiPriority w:val="34"/>
    <w:qFormat/>
    <w:pPr>
      <w:contextualSpacing/>
      <w:ind w:left="720"/>
    </w:pPr>
  </w:style>
  <w:style w:type="paragraph" w:styleId="669">
    <w:name w:val="No Spacing"/>
    <w:uiPriority w:val="1"/>
    <w:qFormat/>
    <w:pPr>
      <w:spacing w:before="0" w:after="0" w:line="240" w:lineRule="auto"/>
    </w:pPr>
  </w:style>
  <w:style w:type="paragraph" w:styleId="670">
    <w:name w:val="Title"/>
    <w:link w:val="671"/>
    <w:uiPriority w:val="10"/>
    <w:qFormat/>
    <w:pPr>
      <w:contextualSpacing/>
      <w:spacing w:before="300" w:after="200"/>
    </w:pPr>
    <w:rPr>
      <w:sz w:val="48"/>
      <w:szCs w:val="48"/>
    </w:rPr>
  </w:style>
  <w:style w:type="character" w:styleId="671">
    <w:name w:val="Title Char"/>
    <w:link w:val="670"/>
    <w:uiPriority w:val="10"/>
    <w:rPr>
      <w:sz w:val="48"/>
      <w:szCs w:val="48"/>
    </w:rPr>
  </w:style>
  <w:style w:type="paragraph" w:styleId="672">
    <w:name w:val="Subtitle"/>
    <w:link w:val="673"/>
    <w:uiPriority w:val="11"/>
    <w:qFormat/>
    <w:pPr>
      <w:spacing w:before="200" w:after="200"/>
    </w:pPr>
    <w:rPr>
      <w:sz w:val="24"/>
      <w:szCs w:val="24"/>
    </w:rPr>
  </w:style>
  <w:style w:type="character" w:styleId="673">
    <w:name w:val="Subtitle Char"/>
    <w:link w:val="672"/>
    <w:uiPriority w:val="11"/>
    <w:rPr>
      <w:sz w:val="24"/>
      <w:szCs w:val="24"/>
    </w:rPr>
  </w:style>
  <w:style w:type="paragraph" w:styleId="674">
    <w:name w:val="Quote"/>
    <w:link w:val="675"/>
    <w:uiPriority w:val="29"/>
    <w:qFormat/>
    <w:pPr>
      <w:ind w:left="720" w:right="720"/>
    </w:pPr>
    <w:rPr>
      <w:i/>
    </w:rPr>
  </w:style>
  <w:style w:type="character" w:styleId="675">
    <w:name w:val="Quote Char"/>
    <w:link w:val="674"/>
    <w:uiPriority w:val="29"/>
    <w:rPr>
      <w:i/>
    </w:rPr>
  </w:style>
  <w:style w:type="paragraph" w:styleId="676">
    <w:name w:val="Intense Quote"/>
    <w:link w:val="67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7">
    <w:name w:val="Intense Quote Char"/>
    <w:link w:val="676"/>
    <w:uiPriority w:val="30"/>
    <w:rPr>
      <w:i/>
    </w:rPr>
  </w:style>
  <w:style w:type="paragraph" w:styleId="678">
    <w:name w:val="Header"/>
    <w:link w:val="679"/>
    <w:uiPriority w:val="99"/>
    <w:unhideWhenUsed/>
    <w:pPr>
      <w:spacing w:after="0" w:line="240" w:lineRule="auto"/>
      <w:tabs>
        <w:tab w:val="center" w:pos="7143" w:leader="none"/>
        <w:tab w:val="right" w:pos="14287" w:leader="none"/>
      </w:tabs>
    </w:pPr>
  </w:style>
  <w:style w:type="character" w:styleId="679">
    <w:name w:val="Header Char"/>
    <w:link w:val="678"/>
    <w:uiPriority w:val="99"/>
  </w:style>
  <w:style w:type="paragraph" w:styleId="680">
    <w:name w:val="Footer"/>
    <w:link w:val="683"/>
    <w:uiPriority w:val="99"/>
    <w:unhideWhenUsed/>
    <w:pPr>
      <w:spacing w:after="0" w:line="240" w:lineRule="auto"/>
      <w:tabs>
        <w:tab w:val="center" w:pos="7143" w:leader="none"/>
        <w:tab w:val="right" w:pos="14287" w:leader="none"/>
      </w:tabs>
    </w:pPr>
  </w:style>
  <w:style w:type="character" w:styleId="681">
    <w:name w:val="Footer Char"/>
    <w:link w:val="680"/>
    <w:uiPriority w:val="99"/>
  </w:style>
  <w:style w:type="paragraph" w:styleId="682">
    <w:name w:val="Caption"/>
    <w:uiPriority w:val="35"/>
    <w:semiHidden/>
    <w:unhideWhenUsed/>
    <w:qFormat/>
    <w:pPr>
      <w:spacing w:line="276" w:lineRule="auto"/>
    </w:pPr>
    <w:rPr>
      <w:b/>
      <w:bCs/>
      <w:color w:val="4f81bd" w:themeColor="accent1"/>
      <w:sz w:val="18"/>
      <w:szCs w:val="18"/>
    </w:rPr>
  </w:style>
  <w:style w:type="character" w:styleId="683">
    <w:name w:val="Caption Char"/>
    <w:basedOn w:val="682"/>
    <w:link w:val="680"/>
    <w:uiPriority w:val="99"/>
  </w:style>
  <w:style w:type="table" w:styleId="68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8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9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9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9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9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0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0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0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0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0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0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1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1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1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1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2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2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2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2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2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2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2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2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3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3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3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3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3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4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4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4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4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4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4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5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5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5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5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5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5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5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5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6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6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6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6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6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6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6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7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7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7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8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8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8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8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8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8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8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8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8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8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0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0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0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0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10">
    <w:name w:val="Hyperlink"/>
    <w:uiPriority w:val="99"/>
    <w:unhideWhenUsed/>
    <w:rPr>
      <w:color w:val="0000ff" w:themeColor="hyperlink"/>
      <w:u w:val="single"/>
    </w:rPr>
  </w:style>
  <w:style w:type="paragraph" w:styleId="811">
    <w:name w:val="footnote text"/>
    <w:link w:val="812"/>
    <w:uiPriority w:val="99"/>
    <w:semiHidden/>
    <w:unhideWhenUsed/>
    <w:pPr>
      <w:spacing w:after="40" w:line="240" w:lineRule="auto"/>
    </w:pPr>
    <w:rPr>
      <w:sz w:val="18"/>
    </w:rPr>
  </w:style>
  <w:style w:type="character" w:styleId="812">
    <w:name w:val="Footnote Text Char"/>
    <w:link w:val="811"/>
    <w:uiPriority w:val="99"/>
    <w:rPr>
      <w:sz w:val="18"/>
    </w:rPr>
  </w:style>
  <w:style w:type="character" w:styleId="813">
    <w:name w:val="footnote reference"/>
    <w:uiPriority w:val="99"/>
    <w:unhideWhenUsed/>
    <w:rPr>
      <w:vertAlign w:val="superscript"/>
    </w:rPr>
  </w:style>
  <w:style w:type="paragraph" w:styleId="814">
    <w:name w:val="endnote text"/>
    <w:link w:val="815"/>
    <w:uiPriority w:val="99"/>
    <w:semiHidden/>
    <w:unhideWhenUsed/>
    <w:pPr>
      <w:spacing w:after="0" w:line="240" w:lineRule="auto"/>
    </w:pPr>
    <w:rPr>
      <w:sz w:val="20"/>
    </w:rPr>
  </w:style>
  <w:style w:type="character" w:styleId="815">
    <w:name w:val="Endnote Text Char"/>
    <w:link w:val="814"/>
    <w:uiPriority w:val="99"/>
    <w:rPr>
      <w:sz w:val="20"/>
    </w:rPr>
  </w:style>
  <w:style w:type="character" w:styleId="816">
    <w:name w:val="endnote reference"/>
    <w:uiPriority w:val="99"/>
    <w:semiHidden/>
    <w:unhideWhenUsed/>
    <w:rPr>
      <w:vertAlign w:val="superscript"/>
    </w:rPr>
  </w:style>
  <w:style w:type="paragraph" w:styleId="817">
    <w:name w:val="toc 1"/>
    <w:uiPriority w:val="39"/>
    <w:unhideWhenUsed/>
    <w:pPr>
      <w:ind w:left="0" w:right="0" w:firstLine="0"/>
      <w:spacing w:after="57"/>
    </w:pPr>
  </w:style>
  <w:style w:type="paragraph" w:styleId="818">
    <w:name w:val="toc 2"/>
    <w:uiPriority w:val="39"/>
    <w:unhideWhenUsed/>
    <w:pPr>
      <w:ind w:left="283" w:right="0" w:firstLine="0"/>
      <w:spacing w:after="57"/>
    </w:pPr>
  </w:style>
  <w:style w:type="paragraph" w:styleId="819">
    <w:name w:val="toc 3"/>
    <w:uiPriority w:val="39"/>
    <w:unhideWhenUsed/>
    <w:pPr>
      <w:ind w:left="567" w:right="0" w:firstLine="0"/>
      <w:spacing w:after="57"/>
    </w:pPr>
  </w:style>
  <w:style w:type="paragraph" w:styleId="820">
    <w:name w:val="toc 4"/>
    <w:uiPriority w:val="39"/>
    <w:unhideWhenUsed/>
    <w:pPr>
      <w:ind w:left="850" w:right="0" w:firstLine="0"/>
      <w:spacing w:after="57"/>
    </w:pPr>
  </w:style>
  <w:style w:type="paragraph" w:styleId="821">
    <w:name w:val="toc 5"/>
    <w:uiPriority w:val="39"/>
    <w:unhideWhenUsed/>
    <w:pPr>
      <w:ind w:left="1134" w:right="0" w:firstLine="0"/>
      <w:spacing w:after="57"/>
    </w:pPr>
  </w:style>
  <w:style w:type="paragraph" w:styleId="822">
    <w:name w:val="toc 6"/>
    <w:uiPriority w:val="39"/>
    <w:unhideWhenUsed/>
    <w:pPr>
      <w:ind w:left="1417" w:right="0" w:firstLine="0"/>
      <w:spacing w:after="57"/>
    </w:pPr>
  </w:style>
  <w:style w:type="paragraph" w:styleId="823">
    <w:name w:val="toc 7"/>
    <w:uiPriority w:val="39"/>
    <w:unhideWhenUsed/>
    <w:pPr>
      <w:ind w:left="1701" w:right="0" w:firstLine="0"/>
      <w:spacing w:after="57"/>
    </w:pPr>
  </w:style>
  <w:style w:type="paragraph" w:styleId="824">
    <w:name w:val="toc 8"/>
    <w:uiPriority w:val="39"/>
    <w:unhideWhenUsed/>
    <w:pPr>
      <w:ind w:left="1984" w:right="0" w:firstLine="0"/>
      <w:spacing w:after="57"/>
    </w:pPr>
  </w:style>
  <w:style w:type="paragraph" w:styleId="825">
    <w:name w:val="toc 9"/>
    <w:uiPriority w:val="39"/>
    <w:unhideWhenUsed/>
    <w:pPr>
      <w:ind w:left="2268" w:right="0" w:firstLine="0"/>
      <w:spacing w:after="57"/>
    </w:pPr>
  </w:style>
  <w:style w:type="paragraph" w:styleId="826">
    <w:name w:val="TOC Heading"/>
    <w:uiPriority w:val="39"/>
    <w:unhideWhenUsed/>
  </w:style>
  <w:style w:type="paragraph" w:styleId="827">
    <w:name w:val="table of figures"/>
    <w:uiPriority w:val="99"/>
    <w:unhideWhenUsed/>
    <w:pPr>
      <w:spacing w:after="0" w:afterAutospacing="0"/>
    </w:pPr>
  </w:style>
  <w:style w:type="character" w:styleId="828" w:default="1">
    <w:name w:val="Default Paragraph Font"/>
    <w:uiPriority w:val="1"/>
    <w:semiHidden/>
    <w:unhideWhenUsed/>
  </w:style>
  <w:style w:type="numbering" w:styleId="829" w:default="1">
    <w:name w:val="No List"/>
    <w:uiPriority w:val="99"/>
    <w:semiHidden/>
    <w:unhideWhenUsed/>
  </w:style>
  <w:style w:type="paragraph" w:styleId="830" w:default="1">
    <w:name w:val="Normal"/>
    <w:qFormat/>
  </w:style>
  <w:style w:type="table" w:styleId="83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86268900" TargetMode="External"/><Relationship Id="rId1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86268900" TargetMode="External"/><Relationship Id="rId1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86268901" TargetMode="External"/><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86268902"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86268903"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86268903" TargetMode="External"/><Relationship Id="rId15" Type="http://schemas.openxmlformats.org/officeDocument/2006/relationships/hyperlink" Target="http://jszfcg.jsczt.cn/%EF%BC%89%E7%9B%B8%E5%85%B3%E8%A6%81%E6%B1%82%E6%98%AF%E6%9C%AC%E7%A3%8B%E5%95%86%E6%96%87%E4%BB%B6%E7%9A%84%E7%BB%84%E6%88%90%E9%83%A8%E5%88%86%E3%80%82"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潘扬愈</cp:lastModifiedBy>
  <cp:revision>11</cp:revision>
  <dcterms:created xsi:type="dcterms:W3CDTF">2025-10-08T01:37:53Z</dcterms:created>
  <dcterms:modified xsi:type="dcterms:W3CDTF">2025-10-13T06:54:23Z</dcterms:modified>
</cp:coreProperties>
</file>